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E7D53A">
      <w:pPr>
        <w:spacing w:line="360" w:lineRule="auto"/>
        <w:jc w:val="center"/>
        <w:rPr>
          <w:rFonts w:hint="eastAsia" w:ascii="宋体" w:hAnsi="宋体" w:cs="宋体"/>
          <w:b/>
          <w:sz w:val="32"/>
          <w:szCs w:val="72"/>
          <w:highlight w:val="none"/>
        </w:rPr>
      </w:pPr>
      <w:bookmarkStart w:id="429" w:name="_GoBack"/>
    </w:p>
    <w:p w14:paraId="2CB227BC">
      <w:pPr>
        <w:spacing w:line="600" w:lineRule="exact"/>
        <w:ind w:left="440" w:hanging="520" w:hangingChars="100"/>
        <w:jc w:val="center"/>
        <w:rPr>
          <w:rFonts w:hint="eastAsia" w:ascii="黑体" w:hAnsi="黑体" w:eastAsia="黑体" w:cs="黑体"/>
          <w:sz w:val="52"/>
          <w:szCs w:val="52"/>
          <w:highlight w:val="none"/>
          <w:lang w:eastAsia="zh-CN"/>
        </w:rPr>
      </w:pPr>
      <w:r>
        <w:rPr>
          <w:rFonts w:hint="eastAsia" w:ascii="黑体" w:hAnsi="黑体" w:eastAsia="黑体" w:cs="黑体"/>
          <w:color w:val="000000"/>
          <w:kern w:val="0"/>
          <w:sz w:val="52"/>
          <w:szCs w:val="52"/>
          <w:highlight w:val="none"/>
          <w:lang w:eastAsia="zh-CN" w:bidi="ar"/>
        </w:rPr>
        <w:t>2026年河南产互联制造业数据智能运营平台研发项目</w:t>
      </w:r>
    </w:p>
    <w:p w14:paraId="49AB1650">
      <w:pPr>
        <w:pStyle w:val="31"/>
        <w:tabs>
          <w:tab w:val="left" w:pos="6343"/>
        </w:tabs>
        <w:ind w:firstLine="0" w:firstLineChars="0"/>
        <w:rPr>
          <w:rFonts w:hint="eastAsia" w:ascii="宋体" w:hAnsi="宋体" w:cs="宋体"/>
          <w:bCs/>
          <w:szCs w:val="21"/>
          <w:highlight w:val="none"/>
        </w:rPr>
      </w:pPr>
    </w:p>
    <w:p w14:paraId="4383CBAF">
      <w:pPr>
        <w:pStyle w:val="31"/>
        <w:ind w:firstLine="320"/>
        <w:rPr>
          <w:rFonts w:hint="eastAsia" w:ascii="宋体" w:hAnsi="宋体" w:cs="宋体"/>
          <w:bCs/>
          <w:szCs w:val="21"/>
          <w:highlight w:val="none"/>
        </w:rPr>
      </w:pPr>
    </w:p>
    <w:p w14:paraId="3229E380">
      <w:pPr>
        <w:spacing w:line="360" w:lineRule="auto"/>
        <w:jc w:val="center"/>
        <w:rPr>
          <w:rFonts w:hint="eastAsia" w:ascii="宋体" w:hAnsi="宋体" w:cs="宋体"/>
          <w:bCs/>
          <w:szCs w:val="21"/>
          <w:highlight w:val="none"/>
        </w:rPr>
      </w:pPr>
    </w:p>
    <w:p w14:paraId="0C0960B2">
      <w:pPr>
        <w:pStyle w:val="18"/>
        <w:rPr>
          <w:rFonts w:hint="eastAsia" w:ascii="宋体" w:hAnsi="宋体" w:cs="宋体"/>
          <w:bCs/>
          <w:highlight w:val="none"/>
        </w:rPr>
      </w:pPr>
    </w:p>
    <w:p w14:paraId="5ECF532C">
      <w:pPr>
        <w:rPr>
          <w:highlight w:val="none"/>
        </w:rPr>
      </w:pPr>
    </w:p>
    <w:p w14:paraId="52B695E6">
      <w:pPr>
        <w:pStyle w:val="18"/>
        <w:rPr>
          <w:rFonts w:hint="eastAsia" w:ascii="宋体" w:hAnsi="宋体" w:cs="宋体"/>
          <w:bCs/>
          <w:highlight w:val="none"/>
        </w:rPr>
      </w:pPr>
    </w:p>
    <w:p w14:paraId="41A18D5E">
      <w:pPr>
        <w:rPr>
          <w:highlight w:val="none"/>
        </w:rPr>
      </w:pPr>
    </w:p>
    <w:p w14:paraId="6DB92FCE">
      <w:pPr>
        <w:rPr>
          <w:highlight w:val="none"/>
        </w:rPr>
      </w:pPr>
    </w:p>
    <w:p w14:paraId="746BD7CF">
      <w:pPr>
        <w:pStyle w:val="18"/>
        <w:rPr>
          <w:rFonts w:hint="eastAsia" w:ascii="宋体" w:hAnsi="宋体" w:cs="宋体"/>
          <w:highlight w:val="none"/>
        </w:rPr>
      </w:pPr>
    </w:p>
    <w:p w14:paraId="684328A4">
      <w:pPr>
        <w:spacing w:line="360" w:lineRule="auto"/>
        <w:jc w:val="center"/>
        <w:rPr>
          <w:rFonts w:hint="eastAsia" w:ascii="宋体" w:hAnsi="宋体" w:cs="宋体"/>
          <w:b/>
          <w:sz w:val="72"/>
          <w:szCs w:val="72"/>
          <w:highlight w:val="none"/>
        </w:rPr>
      </w:pPr>
      <w:r>
        <w:rPr>
          <w:rFonts w:hint="eastAsia" w:ascii="宋体" w:hAnsi="宋体" w:cs="宋体"/>
          <w:b/>
          <w:sz w:val="72"/>
          <w:szCs w:val="72"/>
          <w:highlight w:val="none"/>
        </w:rPr>
        <w:t>询比采购文件</w:t>
      </w:r>
    </w:p>
    <w:p w14:paraId="737B12F0">
      <w:pPr>
        <w:spacing w:before="240"/>
        <w:jc w:val="center"/>
        <w:rPr>
          <w:rFonts w:hint="eastAsia" w:ascii="宋体" w:hAnsi="宋体" w:eastAsia="宋体" w:cs="宋体"/>
          <w:b/>
          <w:bCs/>
          <w:sz w:val="32"/>
          <w:szCs w:val="36"/>
          <w:highlight w:val="none"/>
          <w:lang w:eastAsia="zh-CN"/>
        </w:rPr>
      </w:pPr>
      <w:r>
        <w:rPr>
          <w:rFonts w:hint="eastAsia" w:ascii="宋体" w:hAnsi="宋体" w:cs="宋体"/>
          <w:b/>
          <w:bCs/>
          <w:sz w:val="32"/>
          <w:szCs w:val="36"/>
          <w:highlight w:val="none"/>
        </w:rPr>
        <w:t>采购编号:0635-202611</w:t>
      </w:r>
      <w:r>
        <w:rPr>
          <w:rFonts w:hint="eastAsia" w:ascii="宋体" w:hAnsi="宋体" w:cs="宋体"/>
          <w:b/>
          <w:bCs/>
          <w:sz w:val="32"/>
          <w:szCs w:val="36"/>
          <w:highlight w:val="none"/>
          <w:lang w:eastAsia="zh-CN"/>
        </w:rPr>
        <w:t>FW0036</w:t>
      </w:r>
    </w:p>
    <w:p w14:paraId="53926896">
      <w:pPr>
        <w:pStyle w:val="51"/>
        <w:rPr>
          <w:rFonts w:hint="eastAsia" w:ascii="宋体" w:hAnsi="宋体" w:eastAsia="宋体" w:cs="宋体"/>
          <w:color w:val="auto"/>
          <w:sz w:val="23"/>
          <w:szCs w:val="23"/>
          <w:highlight w:val="none"/>
        </w:rPr>
      </w:pPr>
    </w:p>
    <w:p w14:paraId="32C335CF">
      <w:pPr>
        <w:pStyle w:val="51"/>
        <w:rPr>
          <w:rFonts w:hint="eastAsia" w:ascii="宋体" w:hAnsi="宋体" w:eastAsia="宋体" w:cs="宋体"/>
          <w:color w:val="auto"/>
          <w:sz w:val="23"/>
          <w:szCs w:val="23"/>
          <w:highlight w:val="none"/>
        </w:rPr>
      </w:pPr>
    </w:p>
    <w:p w14:paraId="05F40E95">
      <w:pPr>
        <w:rPr>
          <w:rFonts w:hint="eastAsia" w:ascii="宋体" w:hAnsi="宋体" w:cs="宋体"/>
          <w:sz w:val="23"/>
          <w:szCs w:val="23"/>
          <w:highlight w:val="none"/>
        </w:rPr>
      </w:pPr>
    </w:p>
    <w:p w14:paraId="7EE02F6F">
      <w:pPr>
        <w:pStyle w:val="32"/>
        <w:rPr>
          <w:highlight w:val="none"/>
        </w:rPr>
      </w:pPr>
    </w:p>
    <w:p w14:paraId="7988B633">
      <w:pPr>
        <w:rPr>
          <w:rFonts w:hint="eastAsia" w:ascii="宋体" w:hAnsi="宋体" w:cs="宋体"/>
          <w:sz w:val="23"/>
          <w:szCs w:val="23"/>
          <w:highlight w:val="none"/>
        </w:rPr>
      </w:pPr>
    </w:p>
    <w:p w14:paraId="0CC2AC8E">
      <w:pPr>
        <w:pStyle w:val="17"/>
        <w:rPr>
          <w:highlight w:val="none"/>
        </w:rPr>
      </w:pPr>
    </w:p>
    <w:p w14:paraId="236277F6">
      <w:pPr>
        <w:pStyle w:val="17"/>
        <w:rPr>
          <w:highlight w:val="none"/>
        </w:rPr>
      </w:pPr>
    </w:p>
    <w:p w14:paraId="13A0F0EF">
      <w:pPr>
        <w:pStyle w:val="51"/>
        <w:rPr>
          <w:rFonts w:hint="eastAsia" w:ascii="宋体" w:hAnsi="宋体" w:eastAsia="宋体" w:cs="宋体"/>
          <w:color w:val="auto"/>
          <w:sz w:val="23"/>
          <w:szCs w:val="23"/>
          <w:highlight w:val="none"/>
        </w:rPr>
      </w:pPr>
    </w:p>
    <w:p w14:paraId="2047CF20">
      <w:pPr>
        <w:spacing w:line="360" w:lineRule="auto"/>
        <w:ind w:firstLine="1606" w:firstLineChars="500"/>
        <w:jc w:val="left"/>
        <w:rPr>
          <w:rFonts w:hint="eastAsia" w:ascii="宋体" w:hAnsi="宋体" w:eastAsia="宋体" w:cs="宋体"/>
          <w:b/>
          <w:sz w:val="32"/>
          <w:szCs w:val="32"/>
          <w:highlight w:val="none"/>
          <w:lang w:eastAsia="zh-CN"/>
        </w:rPr>
      </w:pPr>
      <w:r>
        <w:rPr>
          <w:rFonts w:hint="eastAsia" w:ascii="宋体" w:hAnsi="宋体" w:cs="宋体"/>
          <w:b/>
          <w:sz w:val="32"/>
          <w:szCs w:val="32"/>
          <w:highlight w:val="none"/>
        </w:rPr>
        <w:t>采 购 人：</w:t>
      </w:r>
      <w:r>
        <w:rPr>
          <w:rFonts w:hint="eastAsia" w:ascii="宋体" w:hAnsi="宋体" w:cs="宋体"/>
          <w:b/>
          <w:sz w:val="32"/>
          <w:szCs w:val="32"/>
          <w:highlight w:val="none"/>
          <w:lang w:eastAsia="zh-CN"/>
        </w:rPr>
        <w:t>河南产业互联网联合发展有限公司</w:t>
      </w:r>
    </w:p>
    <w:p w14:paraId="7DE1D158">
      <w:pPr>
        <w:pStyle w:val="48"/>
        <w:spacing w:line="360" w:lineRule="auto"/>
        <w:rPr>
          <w:rFonts w:hint="eastAsia" w:ascii="宋体" w:hAnsi="宋体" w:cs="宋体"/>
          <w:highlight w:val="none"/>
        </w:rPr>
      </w:pPr>
      <w:r>
        <w:rPr>
          <w:rFonts w:hint="eastAsia" w:ascii="宋体" w:hAnsi="宋体" w:cs="宋体"/>
          <w:b/>
          <w:kern w:val="0"/>
          <w:sz w:val="32"/>
          <w:szCs w:val="32"/>
          <w:highlight w:val="none"/>
        </w:rPr>
        <w:t xml:space="preserve">          代理机构：河南省机电设备国际招标有限公司</w:t>
      </w:r>
    </w:p>
    <w:p w14:paraId="5B290B30">
      <w:pPr>
        <w:spacing w:line="360" w:lineRule="auto"/>
        <w:ind w:firstLine="643" w:firstLineChars="200"/>
        <w:jc w:val="center"/>
        <w:rPr>
          <w:rFonts w:hint="eastAsia" w:ascii="宋体" w:hAnsi="宋体" w:cs="宋体"/>
          <w:szCs w:val="21"/>
          <w:highlight w:val="none"/>
        </w:rPr>
        <w:sectPr>
          <w:footerReference r:id="rId7" w:type="first"/>
          <w:headerReference r:id="rId3" w:type="default"/>
          <w:footerReference r:id="rId5" w:type="default"/>
          <w:headerReference r:id="rId4" w:type="even"/>
          <w:footerReference r:id="rId6" w:type="even"/>
          <w:pgSz w:w="11906" w:h="16838"/>
          <w:pgMar w:top="1418" w:right="1134" w:bottom="1418" w:left="1134" w:header="851" w:footer="992" w:gutter="0"/>
          <w:cols w:space="720" w:num="1"/>
          <w:titlePg/>
          <w:docGrid w:type="lines" w:linePitch="312" w:charSpace="0"/>
        </w:sectPr>
      </w:pPr>
      <w:r>
        <w:rPr>
          <w:rFonts w:hint="eastAsia" w:ascii="宋体" w:hAnsi="宋体" w:cs="宋体"/>
          <w:b/>
          <w:sz w:val="32"/>
          <w:szCs w:val="32"/>
          <w:highlight w:val="none"/>
        </w:rPr>
        <w:t>202</w:t>
      </w:r>
      <w:r>
        <w:rPr>
          <w:rFonts w:hint="eastAsia" w:ascii="宋体" w:hAnsi="宋体" w:cs="宋体"/>
          <w:b/>
          <w:sz w:val="32"/>
          <w:szCs w:val="32"/>
          <w:highlight w:val="none"/>
          <w:lang w:val="en-US" w:eastAsia="zh-CN"/>
        </w:rPr>
        <w:t>6</w:t>
      </w:r>
      <w:r>
        <w:rPr>
          <w:rFonts w:hint="eastAsia" w:ascii="宋体" w:hAnsi="宋体" w:cs="宋体"/>
          <w:b/>
          <w:sz w:val="32"/>
          <w:szCs w:val="32"/>
          <w:highlight w:val="none"/>
        </w:rPr>
        <w:t>年</w:t>
      </w:r>
      <w:r>
        <w:rPr>
          <w:rFonts w:hint="eastAsia" w:ascii="宋体" w:hAnsi="宋体" w:cs="宋体"/>
          <w:b/>
          <w:sz w:val="32"/>
          <w:szCs w:val="32"/>
          <w:highlight w:val="none"/>
          <w:lang w:val="en-US" w:eastAsia="zh-CN"/>
        </w:rPr>
        <w:t>7</w:t>
      </w:r>
      <w:r>
        <w:rPr>
          <w:rFonts w:hint="eastAsia" w:ascii="宋体" w:hAnsi="宋体" w:cs="宋体"/>
          <w:b/>
          <w:sz w:val="32"/>
          <w:szCs w:val="32"/>
          <w:highlight w:val="none"/>
        </w:rPr>
        <w:t>月</w:t>
      </w:r>
    </w:p>
    <w:p w14:paraId="509F11C5">
      <w:pPr>
        <w:rPr>
          <w:rFonts w:hint="eastAsia" w:ascii="宋体" w:hAnsi="宋体" w:cs="宋体"/>
          <w:highlight w:val="none"/>
        </w:rPr>
      </w:pPr>
    </w:p>
    <w:p w14:paraId="01798A89">
      <w:pPr>
        <w:rPr>
          <w:rFonts w:hint="eastAsia" w:ascii="宋体" w:hAnsi="宋体" w:cs="宋体"/>
          <w:highlight w:val="none"/>
        </w:rPr>
      </w:pPr>
    </w:p>
    <w:sdt>
      <w:sdtPr>
        <w:rPr>
          <w:rFonts w:hint="eastAsia" w:ascii="宋体" w:hAnsi="宋体" w:cs="宋体"/>
          <w:sz w:val="24"/>
          <w:szCs w:val="24"/>
          <w:highlight w:val="none"/>
        </w:rPr>
        <w:id w:val="147456238"/>
        <w:docPartObj>
          <w:docPartGallery w:val="Table of Contents"/>
          <w:docPartUnique/>
        </w:docPartObj>
      </w:sdtPr>
      <w:sdtEndPr>
        <w:rPr>
          <w:rFonts w:hint="eastAsia" w:ascii="宋体" w:hAnsi="宋体" w:cs="宋体"/>
          <w:sz w:val="21"/>
          <w:szCs w:val="21"/>
          <w:highlight w:val="none"/>
        </w:rPr>
      </w:sdtEndPr>
      <w:sdtContent>
        <w:p w14:paraId="2EC466B0">
          <w:pPr>
            <w:spacing w:line="360" w:lineRule="auto"/>
            <w:jc w:val="center"/>
            <w:rPr>
              <w:rFonts w:hint="eastAsia" w:ascii="宋体" w:hAnsi="宋体" w:cs="宋体"/>
              <w:b/>
              <w:bCs/>
              <w:sz w:val="24"/>
              <w:szCs w:val="24"/>
              <w:highlight w:val="none"/>
            </w:rPr>
          </w:pPr>
          <w:r>
            <w:rPr>
              <w:rFonts w:hint="eastAsia" w:ascii="宋体" w:hAnsi="宋体" w:cs="宋体"/>
              <w:b/>
              <w:bCs/>
              <w:sz w:val="24"/>
              <w:szCs w:val="24"/>
              <w:highlight w:val="none"/>
            </w:rPr>
            <w:t>目  录</w:t>
          </w:r>
        </w:p>
        <w:p w14:paraId="3FA43B44">
          <w:pPr>
            <w:pStyle w:val="24"/>
            <w:tabs>
              <w:tab w:val="right" w:leader="dot" w:pos="8306"/>
            </w:tabs>
            <w:spacing w:line="360" w:lineRule="auto"/>
            <w:rPr>
              <w:szCs w:val="21"/>
              <w:highlight w:val="none"/>
            </w:rPr>
          </w:pPr>
          <w:r>
            <w:rPr>
              <w:rFonts w:hint="eastAsia" w:ascii="宋体" w:hAnsi="宋体" w:cs="宋体"/>
              <w:b/>
              <w:szCs w:val="21"/>
              <w:highlight w:val="none"/>
            </w:rPr>
            <w:fldChar w:fldCharType="begin"/>
          </w:r>
          <w:r>
            <w:rPr>
              <w:rFonts w:hint="eastAsia" w:ascii="宋体" w:hAnsi="宋体" w:cs="宋体"/>
              <w:b/>
              <w:szCs w:val="21"/>
              <w:highlight w:val="none"/>
            </w:rPr>
            <w:instrText xml:space="preserve">TOC \o "1-3" \h \u </w:instrText>
          </w:r>
          <w:r>
            <w:rPr>
              <w:rFonts w:hint="eastAsia" w:ascii="宋体" w:hAnsi="宋体" w:cs="宋体"/>
              <w:b/>
              <w:szCs w:val="21"/>
              <w:highlight w:val="none"/>
            </w:rPr>
            <w:fldChar w:fldCharType="separate"/>
          </w:r>
          <w:r>
            <w:rPr>
              <w:highlight w:val="none"/>
            </w:rPr>
            <w:fldChar w:fldCharType="begin"/>
          </w:r>
          <w:r>
            <w:rPr>
              <w:highlight w:val="none"/>
            </w:rPr>
            <w:instrText xml:space="preserve"> HYPERLINK \l "_Toc15457" </w:instrText>
          </w:r>
          <w:r>
            <w:rPr>
              <w:highlight w:val="none"/>
            </w:rPr>
            <w:fldChar w:fldCharType="separate"/>
          </w:r>
          <w:r>
            <w:rPr>
              <w:rFonts w:hint="eastAsia" w:ascii="宋体" w:hAnsi="宋体" w:cs="宋体"/>
              <w:szCs w:val="21"/>
              <w:highlight w:val="none"/>
            </w:rPr>
            <w:t>第一章  询比采购公告</w:t>
          </w:r>
          <w:r>
            <w:rPr>
              <w:szCs w:val="21"/>
              <w:highlight w:val="none"/>
            </w:rPr>
            <w:tab/>
          </w:r>
          <w:r>
            <w:rPr>
              <w:szCs w:val="21"/>
              <w:highlight w:val="none"/>
            </w:rPr>
            <w:fldChar w:fldCharType="begin"/>
          </w:r>
          <w:r>
            <w:rPr>
              <w:szCs w:val="21"/>
              <w:highlight w:val="none"/>
            </w:rPr>
            <w:instrText xml:space="preserve"> PAGEREF _Toc15457 \h </w:instrText>
          </w:r>
          <w:r>
            <w:rPr>
              <w:szCs w:val="21"/>
              <w:highlight w:val="none"/>
            </w:rPr>
            <w:fldChar w:fldCharType="separate"/>
          </w:r>
          <w:r>
            <w:rPr>
              <w:szCs w:val="21"/>
              <w:highlight w:val="none"/>
            </w:rPr>
            <w:t>1</w:t>
          </w:r>
          <w:r>
            <w:rPr>
              <w:szCs w:val="21"/>
              <w:highlight w:val="none"/>
            </w:rPr>
            <w:fldChar w:fldCharType="end"/>
          </w:r>
          <w:r>
            <w:rPr>
              <w:szCs w:val="21"/>
              <w:highlight w:val="none"/>
            </w:rPr>
            <w:fldChar w:fldCharType="end"/>
          </w:r>
        </w:p>
        <w:p w14:paraId="1A827011">
          <w:pPr>
            <w:pStyle w:val="24"/>
            <w:tabs>
              <w:tab w:val="right" w:leader="dot" w:pos="8306"/>
            </w:tabs>
            <w:spacing w:line="360" w:lineRule="auto"/>
            <w:rPr>
              <w:szCs w:val="21"/>
              <w:highlight w:val="none"/>
            </w:rPr>
          </w:pPr>
          <w:r>
            <w:rPr>
              <w:highlight w:val="none"/>
            </w:rPr>
            <w:fldChar w:fldCharType="begin"/>
          </w:r>
          <w:r>
            <w:rPr>
              <w:highlight w:val="none"/>
            </w:rPr>
            <w:instrText xml:space="preserve"> HYPERLINK \l "_Toc24047" </w:instrText>
          </w:r>
          <w:r>
            <w:rPr>
              <w:highlight w:val="none"/>
            </w:rPr>
            <w:fldChar w:fldCharType="separate"/>
          </w:r>
          <w:r>
            <w:rPr>
              <w:rFonts w:hint="eastAsia" w:ascii="宋体" w:hAnsi="宋体" w:cs="宋体"/>
              <w:szCs w:val="21"/>
              <w:highlight w:val="none"/>
            </w:rPr>
            <w:t>第二章  供应商须知</w:t>
          </w:r>
          <w:r>
            <w:rPr>
              <w:szCs w:val="21"/>
              <w:highlight w:val="none"/>
            </w:rPr>
            <w:tab/>
          </w:r>
          <w:r>
            <w:rPr>
              <w:szCs w:val="21"/>
              <w:highlight w:val="none"/>
            </w:rPr>
            <w:fldChar w:fldCharType="begin"/>
          </w:r>
          <w:r>
            <w:rPr>
              <w:szCs w:val="21"/>
              <w:highlight w:val="none"/>
            </w:rPr>
            <w:instrText xml:space="preserve"> PAGEREF _Toc24047 \h </w:instrText>
          </w:r>
          <w:r>
            <w:rPr>
              <w:szCs w:val="21"/>
              <w:highlight w:val="none"/>
            </w:rPr>
            <w:fldChar w:fldCharType="separate"/>
          </w:r>
          <w:r>
            <w:rPr>
              <w:szCs w:val="21"/>
              <w:highlight w:val="none"/>
            </w:rPr>
            <w:t>4</w:t>
          </w:r>
          <w:r>
            <w:rPr>
              <w:szCs w:val="21"/>
              <w:highlight w:val="none"/>
            </w:rPr>
            <w:fldChar w:fldCharType="end"/>
          </w:r>
          <w:r>
            <w:rPr>
              <w:szCs w:val="21"/>
              <w:highlight w:val="none"/>
            </w:rPr>
            <w:fldChar w:fldCharType="end"/>
          </w:r>
        </w:p>
        <w:p w14:paraId="1911FB91">
          <w:pPr>
            <w:pStyle w:val="26"/>
            <w:tabs>
              <w:tab w:val="right" w:leader="dot" w:pos="8306"/>
            </w:tabs>
            <w:spacing w:line="360" w:lineRule="auto"/>
            <w:rPr>
              <w:szCs w:val="21"/>
              <w:highlight w:val="none"/>
            </w:rPr>
          </w:pPr>
          <w:r>
            <w:rPr>
              <w:highlight w:val="none"/>
            </w:rPr>
            <w:fldChar w:fldCharType="begin"/>
          </w:r>
          <w:r>
            <w:rPr>
              <w:highlight w:val="none"/>
            </w:rPr>
            <w:instrText xml:space="preserve"> HYPERLINK \l "_Toc31780" </w:instrText>
          </w:r>
          <w:r>
            <w:rPr>
              <w:highlight w:val="none"/>
            </w:rPr>
            <w:fldChar w:fldCharType="separate"/>
          </w:r>
          <w:r>
            <w:rPr>
              <w:rFonts w:hint="eastAsia" w:ascii="宋体" w:hAnsi="宋体" w:cs="宋体"/>
              <w:bCs/>
              <w:szCs w:val="21"/>
              <w:highlight w:val="none"/>
            </w:rPr>
            <w:t>供应商须知前附表</w:t>
          </w:r>
          <w:r>
            <w:rPr>
              <w:szCs w:val="21"/>
              <w:highlight w:val="none"/>
            </w:rPr>
            <w:tab/>
          </w:r>
          <w:r>
            <w:rPr>
              <w:szCs w:val="21"/>
              <w:highlight w:val="none"/>
            </w:rPr>
            <w:fldChar w:fldCharType="begin"/>
          </w:r>
          <w:r>
            <w:rPr>
              <w:szCs w:val="21"/>
              <w:highlight w:val="none"/>
            </w:rPr>
            <w:instrText xml:space="preserve"> PAGEREF _Toc31780 \h </w:instrText>
          </w:r>
          <w:r>
            <w:rPr>
              <w:szCs w:val="21"/>
              <w:highlight w:val="none"/>
            </w:rPr>
            <w:fldChar w:fldCharType="separate"/>
          </w:r>
          <w:r>
            <w:rPr>
              <w:szCs w:val="21"/>
              <w:highlight w:val="none"/>
            </w:rPr>
            <w:t>5</w:t>
          </w:r>
          <w:r>
            <w:rPr>
              <w:szCs w:val="21"/>
              <w:highlight w:val="none"/>
            </w:rPr>
            <w:fldChar w:fldCharType="end"/>
          </w:r>
          <w:r>
            <w:rPr>
              <w:szCs w:val="21"/>
              <w:highlight w:val="none"/>
            </w:rPr>
            <w:fldChar w:fldCharType="end"/>
          </w:r>
        </w:p>
        <w:p w14:paraId="61ECB6C6">
          <w:pPr>
            <w:pStyle w:val="26"/>
            <w:tabs>
              <w:tab w:val="right" w:leader="dot" w:pos="8306"/>
            </w:tabs>
            <w:spacing w:line="360" w:lineRule="auto"/>
            <w:rPr>
              <w:szCs w:val="21"/>
              <w:highlight w:val="none"/>
            </w:rPr>
          </w:pPr>
          <w:r>
            <w:rPr>
              <w:highlight w:val="none"/>
            </w:rPr>
            <w:fldChar w:fldCharType="begin"/>
          </w:r>
          <w:r>
            <w:rPr>
              <w:highlight w:val="none"/>
            </w:rPr>
            <w:instrText xml:space="preserve"> HYPERLINK \l "_Toc17049" </w:instrText>
          </w:r>
          <w:r>
            <w:rPr>
              <w:highlight w:val="none"/>
            </w:rPr>
            <w:fldChar w:fldCharType="separate"/>
          </w:r>
          <w:r>
            <w:rPr>
              <w:rFonts w:hint="eastAsia" w:ascii="宋体" w:hAnsi="宋体" w:cs="宋体"/>
              <w:bCs/>
              <w:szCs w:val="21"/>
              <w:highlight w:val="none"/>
            </w:rPr>
            <w:t>一、 总则</w:t>
          </w:r>
          <w:r>
            <w:rPr>
              <w:szCs w:val="21"/>
              <w:highlight w:val="none"/>
            </w:rPr>
            <w:tab/>
          </w:r>
          <w:r>
            <w:rPr>
              <w:szCs w:val="21"/>
              <w:highlight w:val="none"/>
            </w:rPr>
            <w:fldChar w:fldCharType="begin"/>
          </w:r>
          <w:r>
            <w:rPr>
              <w:szCs w:val="21"/>
              <w:highlight w:val="none"/>
            </w:rPr>
            <w:instrText xml:space="preserve"> PAGEREF _Toc17049 \h </w:instrText>
          </w:r>
          <w:r>
            <w:rPr>
              <w:szCs w:val="21"/>
              <w:highlight w:val="none"/>
            </w:rPr>
            <w:fldChar w:fldCharType="separate"/>
          </w:r>
          <w:r>
            <w:rPr>
              <w:szCs w:val="21"/>
              <w:highlight w:val="none"/>
            </w:rPr>
            <w:t>8</w:t>
          </w:r>
          <w:r>
            <w:rPr>
              <w:szCs w:val="21"/>
              <w:highlight w:val="none"/>
            </w:rPr>
            <w:fldChar w:fldCharType="end"/>
          </w:r>
          <w:r>
            <w:rPr>
              <w:szCs w:val="21"/>
              <w:highlight w:val="none"/>
            </w:rPr>
            <w:fldChar w:fldCharType="end"/>
          </w:r>
        </w:p>
        <w:p w14:paraId="512CC69C">
          <w:pPr>
            <w:pStyle w:val="26"/>
            <w:tabs>
              <w:tab w:val="right" w:leader="dot" w:pos="8306"/>
            </w:tabs>
            <w:spacing w:line="360" w:lineRule="auto"/>
            <w:rPr>
              <w:szCs w:val="21"/>
              <w:highlight w:val="none"/>
            </w:rPr>
          </w:pPr>
          <w:r>
            <w:rPr>
              <w:highlight w:val="none"/>
            </w:rPr>
            <w:fldChar w:fldCharType="begin"/>
          </w:r>
          <w:r>
            <w:rPr>
              <w:highlight w:val="none"/>
            </w:rPr>
            <w:instrText xml:space="preserve"> HYPERLINK \l "_Toc4347" </w:instrText>
          </w:r>
          <w:r>
            <w:rPr>
              <w:highlight w:val="none"/>
            </w:rPr>
            <w:fldChar w:fldCharType="separate"/>
          </w:r>
          <w:r>
            <w:rPr>
              <w:rFonts w:hint="eastAsia" w:ascii="宋体" w:hAnsi="宋体" w:cs="宋体"/>
              <w:bCs/>
              <w:szCs w:val="21"/>
              <w:highlight w:val="none"/>
            </w:rPr>
            <w:t>二、 采购文件说明</w:t>
          </w:r>
          <w:r>
            <w:rPr>
              <w:szCs w:val="21"/>
              <w:highlight w:val="none"/>
            </w:rPr>
            <w:tab/>
          </w:r>
          <w:r>
            <w:rPr>
              <w:szCs w:val="21"/>
              <w:highlight w:val="none"/>
            </w:rPr>
            <w:fldChar w:fldCharType="begin"/>
          </w:r>
          <w:r>
            <w:rPr>
              <w:szCs w:val="21"/>
              <w:highlight w:val="none"/>
            </w:rPr>
            <w:instrText xml:space="preserve"> PAGEREF _Toc4347 \h </w:instrText>
          </w:r>
          <w:r>
            <w:rPr>
              <w:szCs w:val="21"/>
              <w:highlight w:val="none"/>
            </w:rPr>
            <w:fldChar w:fldCharType="separate"/>
          </w:r>
          <w:r>
            <w:rPr>
              <w:szCs w:val="21"/>
              <w:highlight w:val="none"/>
            </w:rPr>
            <w:t>9</w:t>
          </w:r>
          <w:r>
            <w:rPr>
              <w:szCs w:val="21"/>
              <w:highlight w:val="none"/>
            </w:rPr>
            <w:fldChar w:fldCharType="end"/>
          </w:r>
          <w:r>
            <w:rPr>
              <w:szCs w:val="21"/>
              <w:highlight w:val="none"/>
            </w:rPr>
            <w:fldChar w:fldCharType="end"/>
          </w:r>
        </w:p>
        <w:p w14:paraId="3DCC321A">
          <w:pPr>
            <w:pStyle w:val="26"/>
            <w:tabs>
              <w:tab w:val="right" w:leader="dot" w:pos="8306"/>
            </w:tabs>
            <w:spacing w:line="360" w:lineRule="auto"/>
            <w:rPr>
              <w:szCs w:val="21"/>
              <w:highlight w:val="none"/>
            </w:rPr>
          </w:pPr>
          <w:r>
            <w:rPr>
              <w:highlight w:val="none"/>
            </w:rPr>
            <w:fldChar w:fldCharType="begin"/>
          </w:r>
          <w:r>
            <w:rPr>
              <w:highlight w:val="none"/>
            </w:rPr>
            <w:instrText xml:space="preserve"> HYPERLINK \l "_Toc13845" </w:instrText>
          </w:r>
          <w:r>
            <w:rPr>
              <w:highlight w:val="none"/>
            </w:rPr>
            <w:fldChar w:fldCharType="separate"/>
          </w:r>
          <w:r>
            <w:rPr>
              <w:rFonts w:hint="eastAsia" w:ascii="宋体" w:hAnsi="宋体" w:cs="宋体"/>
              <w:bCs/>
              <w:szCs w:val="21"/>
              <w:highlight w:val="none"/>
            </w:rPr>
            <w:t>三、 响应文件</w:t>
          </w:r>
          <w:r>
            <w:rPr>
              <w:szCs w:val="21"/>
              <w:highlight w:val="none"/>
            </w:rPr>
            <w:tab/>
          </w:r>
          <w:r>
            <w:rPr>
              <w:szCs w:val="21"/>
              <w:highlight w:val="none"/>
            </w:rPr>
            <w:fldChar w:fldCharType="begin"/>
          </w:r>
          <w:r>
            <w:rPr>
              <w:szCs w:val="21"/>
              <w:highlight w:val="none"/>
            </w:rPr>
            <w:instrText xml:space="preserve"> PAGEREF _Toc13845 \h </w:instrText>
          </w:r>
          <w:r>
            <w:rPr>
              <w:szCs w:val="21"/>
              <w:highlight w:val="none"/>
            </w:rPr>
            <w:fldChar w:fldCharType="separate"/>
          </w:r>
          <w:r>
            <w:rPr>
              <w:szCs w:val="21"/>
              <w:highlight w:val="none"/>
            </w:rPr>
            <w:t>9</w:t>
          </w:r>
          <w:r>
            <w:rPr>
              <w:szCs w:val="21"/>
              <w:highlight w:val="none"/>
            </w:rPr>
            <w:fldChar w:fldCharType="end"/>
          </w:r>
          <w:r>
            <w:rPr>
              <w:szCs w:val="21"/>
              <w:highlight w:val="none"/>
            </w:rPr>
            <w:fldChar w:fldCharType="end"/>
          </w:r>
        </w:p>
        <w:p w14:paraId="5DAAEAB5">
          <w:pPr>
            <w:pStyle w:val="26"/>
            <w:tabs>
              <w:tab w:val="right" w:leader="dot" w:pos="8306"/>
            </w:tabs>
            <w:spacing w:line="360" w:lineRule="auto"/>
            <w:rPr>
              <w:szCs w:val="21"/>
              <w:highlight w:val="none"/>
            </w:rPr>
          </w:pPr>
          <w:r>
            <w:rPr>
              <w:highlight w:val="none"/>
            </w:rPr>
            <w:fldChar w:fldCharType="begin"/>
          </w:r>
          <w:r>
            <w:rPr>
              <w:highlight w:val="none"/>
            </w:rPr>
            <w:instrText xml:space="preserve"> HYPERLINK \l "_Toc16880" </w:instrText>
          </w:r>
          <w:r>
            <w:rPr>
              <w:highlight w:val="none"/>
            </w:rPr>
            <w:fldChar w:fldCharType="separate"/>
          </w:r>
          <w:r>
            <w:rPr>
              <w:rFonts w:hint="eastAsia" w:ascii="宋体" w:hAnsi="宋体" w:cs="宋体"/>
              <w:bCs/>
              <w:szCs w:val="21"/>
              <w:highlight w:val="none"/>
            </w:rPr>
            <w:t>四、 响应文件的密封和递交</w:t>
          </w:r>
          <w:r>
            <w:rPr>
              <w:szCs w:val="21"/>
              <w:highlight w:val="none"/>
            </w:rPr>
            <w:tab/>
          </w:r>
          <w:r>
            <w:rPr>
              <w:szCs w:val="21"/>
              <w:highlight w:val="none"/>
            </w:rPr>
            <w:fldChar w:fldCharType="begin"/>
          </w:r>
          <w:r>
            <w:rPr>
              <w:szCs w:val="21"/>
              <w:highlight w:val="none"/>
            </w:rPr>
            <w:instrText xml:space="preserve"> PAGEREF _Toc16880 \h </w:instrText>
          </w:r>
          <w:r>
            <w:rPr>
              <w:szCs w:val="21"/>
              <w:highlight w:val="none"/>
            </w:rPr>
            <w:fldChar w:fldCharType="separate"/>
          </w:r>
          <w:r>
            <w:rPr>
              <w:szCs w:val="21"/>
              <w:highlight w:val="none"/>
            </w:rPr>
            <w:t>11</w:t>
          </w:r>
          <w:r>
            <w:rPr>
              <w:szCs w:val="21"/>
              <w:highlight w:val="none"/>
            </w:rPr>
            <w:fldChar w:fldCharType="end"/>
          </w:r>
          <w:r>
            <w:rPr>
              <w:szCs w:val="21"/>
              <w:highlight w:val="none"/>
            </w:rPr>
            <w:fldChar w:fldCharType="end"/>
          </w:r>
        </w:p>
        <w:p w14:paraId="00FB04BD">
          <w:pPr>
            <w:pStyle w:val="26"/>
            <w:tabs>
              <w:tab w:val="right" w:leader="dot" w:pos="8306"/>
            </w:tabs>
            <w:spacing w:line="360" w:lineRule="auto"/>
            <w:rPr>
              <w:szCs w:val="21"/>
              <w:highlight w:val="none"/>
            </w:rPr>
          </w:pPr>
          <w:r>
            <w:rPr>
              <w:highlight w:val="none"/>
            </w:rPr>
            <w:fldChar w:fldCharType="begin"/>
          </w:r>
          <w:r>
            <w:rPr>
              <w:highlight w:val="none"/>
            </w:rPr>
            <w:instrText xml:space="preserve"> HYPERLINK \l "_Toc12314" </w:instrText>
          </w:r>
          <w:r>
            <w:rPr>
              <w:highlight w:val="none"/>
            </w:rPr>
            <w:fldChar w:fldCharType="separate"/>
          </w:r>
          <w:r>
            <w:rPr>
              <w:rFonts w:hint="eastAsia" w:ascii="宋体" w:hAnsi="宋体" w:cs="宋体"/>
              <w:bCs/>
              <w:szCs w:val="21"/>
              <w:highlight w:val="none"/>
            </w:rPr>
            <w:t>五、 接收响应文件</w:t>
          </w:r>
          <w:r>
            <w:rPr>
              <w:szCs w:val="21"/>
              <w:highlight w:val="none"/>
            </w:rPr>
            <w:tab/>
          </w:r>
          <w:r>
            <w:rPr>
              <w:szCs w:val="21"/>
              <w:highlight w:val="none"/>
            </w:rPr>
            <w:fldChar w:fldCharType="begin"/>
          </w:r>
          <w:r>
            <w:rPr>
              <w:szCs w:val="21"/>
              <w:highlight w:val="none"/>
            </w:rPr>
            <w:instrText xml:space="preserve"> PAGEREF _Toc12314 \h </w:instrText>
          </w:r>
          <w:r>
            <w:rPr>
              <w:szCs w:val="21"/>
              <w:highlight w:val="none"/>
            </w:rPr>
            <w:fldChar w:fldCharType="separate"/>
          </w:r>
          <w:r>
            <w:rPr>
              <w:szCs w:val="21"/>
              <w:highlight w:val="none"/>
            </w:rPr>
            <w:t>12</w:t>
          </w:r>
          <w:r>
            <w:rPr>
              <w:szCs w:val="21"/>
              <w:highlight w:val="none"/>
            </w:rPr>
            <w:fldChar w:fldCharType="end"/>
          </w:r>
          <w:r>
            <w:rPr>
              <w:szCs w:val="21"/>
              <w:highlight w:val="none"/>
            </w:rPr>
            <w:fldChar w:fldCharType="end"/>
          </w:r>
        </w:p>
        <w:p w14:paraId="38F1781D">
          <w:pPr>
            <w:pStyle w:val="26"/>
            <w:tabs>
              <w:tab w:val="right" w:leader="dot" w:pos="8306"/>
            </w:tabs>
            <w:spacing w:line="360" w:lineRule="auto"/>
            <w:rPr>
              <w:szCs w:val="21"/>
              <w:highlight w:val="none"/>
            </w:rPr>
          </w:pPr>
          <w:r>
            <w:rPr>
              <w:highlight w:val="none"/>
            </w:rPr>
            <w:fldChar w:fldCharType="begin"/>
          </w:r>
          <w:r>
            <w:rPr>
              <w:highlight w:val="none"/>
            </w:rPr>
            <w:instrText xml:space="preserve"> HYPERLINK \l "_Toc5583" </w:instrText>
          </w:r>
          <w:r>
            <w:rPr>
              <w:highlight w:val="none"/>
            </w:rPr>
            <w:fldChar w:fldCharType="separate"/>
          </w:r>
          <w:r>
            <w:rPr>
              <w:rFonts w:hint="eastAsia" w:ascii="宋体" w:hAnsi="宋体" w:cs="宋体"/>
              <w:bCs/>
              <w:szCs w:val="21"/>
              <w:highlight w:val="none"/>
            </w:rPr>
            <w:t>六、 开启响应文件</w:t>
          </w:r>
          <w:r>
            <w:rPr>
              <w:szCs w:val="21"/>
              <w:highlight w:val="none"/>
            </w:rPr>
            <w:tab/>
          </w:r>
          <w:r>
            <w:rPr>
              <w:szCs w:val="21"/>
              <w:highlight w:val="none"/>
            </w:rPr>
            <w:fldChar w:fldCharType="begin"/>
          </w:r>
          <w:r>
            <w:rPr>
              <w:szCs w:val="21"/>
              <w:highlight w:val="none"/>
            </w:rPr>
            <w:instrText xml:space="preserve"> PAGEREF _Toc5583 \h </w:instrText>
          </w:r>
          <w:r>
            <w:rPr>
              <w:szCs w:val="21"/>
              <w:highlight w:val="none"/>
            </w:rPr>
            <w:fldChar w:fldCharType="separate"/>
          </w:r>
          <w:r>
            <w:rPr>
              <w:szCs w:val="21"/>
              <w:highlight w:val="none"/>
            </w:rPr>
            <w:t>12</w:t>
          </w:r>
          <w:r>
            <w:rPr>
              <w:szCs w:val="21"/>
              <w:highlight w:val="none"/>
            </w:rPr>
            <w:fldChar w:fldCharType="end"/>
          </w:r>
          <w:r>
            <w:rPr>
              <w:szCs w:val="21"/>
              <w:highlight w:val="none"/>
            </w:rPr>
            <w:fldChar w:fldCharType="end"/>
          </w:r>
        </w:p>
        <w:p w14:paraId="2299C5E2">
          <w:pPr>
            <w:pStyle w:val="26"/>
            <w:tabs>
              <w:tab w:val="right" w:leader="dot" w:pos="8306"/>
            </w:tabs>
            <w:spacing w:line="360" w:lineRule="auto"/>
            <w:rPr>
              <w:szCs w:val="21"/>
              <w:highlight w:val="none"/>
            </w:rPr>
          </w:pPr>
          <w:r>
            <w:rPr>
              <w:highlight w:val="none"/>
            </w:rPr>
            <w:fldChar w:fldCharType="begin"/>
          </w:r>
          <w:r>
            <w:rPr>
              <w:highlight w:val="none"/>
            </w:rPr>
            <w:instrText xml:space="preserve"> HYPERLINK \l "_Toc22173" </w:instrText>
          </w:r>
          <w:r>
            <w:rPr>
              <w:highlight w:val="none"/>
            </w:rPr>
            <w:fldChar w:fldCharType="separate"/>
          </w:r>
          <w:r>
            <w:rPr>
              <w:rFonts w:hint="eastAsia" w:ascii="宋体" w:hAnsi="宋体" w:cs="宋体"/>
              <w:bCs/>
              <w:szCs w:val="21"/>
              <w:highlight w:val="none"/>
            </w:rPr>
            <w:t>七、 组织评审</w:t>
          </w:r>
          <w:r>
            <w:rPr>
              <w:szCs w:val="21"/>
              <w:highlight w:val="none"/>
            </w:rPr>
            <w:tab/>
          </w:r>
          <w:r>
            <w:rPr>
              <w:szCs w:val="21"/>
              <w:highlight w:val="none"/>
            </w:rPr>
            <w:fldChar w:fldCharType="begin"/>
          </w:r>
          <w:r>
            <w:rPr>
              <w:szCs w:val="21"/>
              <w:highlight w:val="none"/>
            </w:rPr>
            <w:instrText xml:space="preserve"> PAGEREF _Toc22173 \h </w:instrText>
          </w:r>
          <w:r>
            <w:rPr>
              <w:szCs w:val="21"/>
              <w:highlight w:val="none"/>
            </w:rPr>
            <w:fldChar w:fldCharType="separate"/>
          </w:r>
          <w:r>
            <w:rPr>
              <w:szCs w:val="21"/>
              <w:highlight w:val="none"/>
            </w:rPr>
            <w:t>13</w:t>
          </w:r>
          <w:r>
            <w:rPr>
              <w:szCs w:val="21"/>
              <w:highlight w:val="none"/>
            </w:rPr>
            <w:fldChar w:fldCharType="end"/>
          </w:r>
          <w:r>
            <w:rPr>
              <w:szCs w:val="21"/>
              <w:highlight w:val="none"/>
            </w:rPr>
            <w:fldChar w:fldCharType="end"/>
          </w:r>
        </w:p>
        <w:p w14:paraId="004929C6">
          <w:pPr>
            <w:pStyle w:val="26"/>
            <w:tabs>
              <w:tab w:val="right" w:leader="dot" w:pos="8306"/>
            </w:tabs>
            <w:spacing w:line="360" w:lineRule="auto"/>
            <w:rPr>
              <w:szCs w:val="21"/>
              <w:highlight w:val="none"/>
            </w:rPr>
          </w:pPr>
          <w:r>
            <w:rPr>
              <w:highlight w:val="none"/>
            </w:rPr>
            <w:fldChar w:fldCharType="begin"/>
          </w:r>
          <w:r>
            <w:rPr>
              <w:highlight w:val="none"/>
            </w:rPr>
            <w:instrText xml:space="preserve"> HYPERLINK \l "_Toc4751" </w:instrText>
          </w:r>
          <w:r>
            <w:rPr>
              <w:highlight w:val="none"/>
            </w:rPr>
            <w:fldChar w:fldCharType="separate"/>
          </w:r>
          <w:r>
            <w:rPr>
              <w:rFonts w:hint="eastAsia" w:ascii="宋体" w:hAnsi="宋体" w:cs="宋体"/>
              <w:bCs/>
              <w:szCs w:val="21"/>
              <w:highlight w:val="none"/>
            </w:rPr>
            <w:t>八、 授予合同</w:t>
          </w:r>
          <w:r>
            <w:rPr>
              <w:szCs w:val="21"/>
              <w:highlight w:val="none"/>
            </w:rPr>
            <w:tab/>
          </w:r>
          <w:r>
            <w:rPr>
              <w:szCs w:val="21"/>
              <w:highlight w:val="none"/>
            </w:rPr>
            <w:fldChar w:fldCharType="begin"/>
          </w:r>
          <w:r>
            <w:rPr>
              <w:szCs w:val="21"/>
              <w:highlight w:val="none"/>
            </w:rPr>
            <w:instrText xml:space="preserve"> PAGEREF _Toc4751 \h </w:instrText>
          </w:r>
          <w:r>
            <w:rPr>
              <w:szCs w:val="21"/>
              <w:highlight w:val="none"/>
            </w:rPr>
            <w:fldChar w:fldCharType="separate"/>
          </w:r>
          <w:r>
            <w:rPr>
              <w:szCs w:val="21"/>
              <w:highlight w:val="none"/>
            </w:rPr>
            <w:t>13</w:t>
          </w:r>
          <w:r>
            <w:rPr>
              <w:szCs w:val="21"/>
              <w:highlight w:val="none"/>
            </w:rPr>
            <w:fldChar w:fldCharType="end"/>
          </w:r>
          <w:r>
            <w:rPr>
              <w:szCs w:val="21"/>
              <w:highlight w:val="none"/>
            </w:rPr>
            <w:fldChar w:fldCharType="end"/>
          </w:r>
        </w:p>
        <w:p w14:paraId="11D44D06">
          <w:pPr>
            <w:pStyle w:val="24"/>
            <w:tabs>
              <w:tab w:val="right" w:leader="dot" w:pos="8306"/>
            </w:tabs>
            <w:spacing w:line="360" w:lineRule="auto"/>
            <w:rPr>
              <w:szCs w:val="21"/>
              <w:highlight w:val="none"/>
            </w:rPr>
          </w:pPr>
          <w:r>
            <w:rPr>
              <w:highlight w:val="none"/>
            </w:rPr>
            <w:fldChar w:fldCharType="begin"/>
          </w:r>
          <w:r>
            <w:rPr>
              <w:highlight w:val="none"/>
            </w:rPr>
            <w:instrText xml:space="preserve"> HYPERLINK \l "_Toc11465" </w:instrText>
          </w:r>
          <w:r>
            <w:rPr>
              <w:highlight w:val="none"/>
            </w:rPr>
            <w:fldChar w:fldCharType="separate"/>
          </w:r>
          <w:r>
            <w:rPr>
              <w:rFonts w:hint="eastAsia" w:ascii="宋体" w:hAnsi="宋体" w:cs="宋体"/>
              <w:szCs w:val="21"/>
              <w:highlight w:val="none"/>
            </w:rPr>
            <w:t>第三章  评审办法</w:t>
          </w:r>
          <w:r>
            <w:rPr>
              <w:szCs w:val="21"/>
              <w:highlight w:val="none"/>
            </w:rPr>
            <w:tab/>
          </w:r>
          <w:r>
            <w:rPr>
              <w:szCs w:val="21"/>
              <w:highlight w:val="none"/>
            </w:rPr>
            <w:fldChar w:fldCharType="begin"/>
          </w:r>
          <w:r>
            <w:rPr>
              <w:szCs w:val="21"/>
              <w:highlight w:val="none"/>
            </w:rPr>
            <w:instrText xml:space="preserve"> PAGEREF _Toc11465 \h </w:instrText>
          </w:r>
          <w:r>
            <w:rPr>
              <w:szCs w:val="21"/>
              <w:highlight w:val="none"/>
            </w:rPr>
            <w:fldChar w:fldCharType="separate"/>
          </w:r>
          <w:r>
            <w:rPr>
              <w:szCs w:val="21"/>
              <w:highlight w:val="none"/>
            </w:rPr>
            <w:t>15</w:t>
          </w:r>
          <w:r>
            <w:rPr>
              <w:szCs w:val="21"/>
              <w:highlight w:val="none"/>
            </w:rPr>
            <w:fldChar w:fldCharType="end"/>
          </w:r>
          <w:r>
            <w:rPr>
              <w:szCs w:val="21"/>
              <w:highlight w:val="none"/>
            </w:rPr>
            <w:fldChar w:fldCharType="end"/>
          </w:r>
        </w:p>
        <w:p w14:paraId="189BAC96">
          <w:pPr>
            <w:pStyle w:val="24"/>
            <w:tabs>
              <w:tab w:val="right" w:leader="dot" w:pos="8306"/>
            </w:tabs>
            <w:spacing w:line="360" w:lineRule="auto"/>
            <w:rPr>
              <w:szCs w:val="21"/>
              <w:highlight w:val="none"/>
            </w:rPr>
          </w:pPr>
          <w:r>
            <w:rPr>
              <w:highlight w:val="none"/>
            </w:rPr>
            <w:fldChar w:fldCharType="begin"/>
          </w:r>
          <w:r>
            <w:rPr>
              <w:highlight w:val="none"/>
            </w:rPr>
            <w:instrText xml:space="preserve"> HYPERLINK \l "_Toc5864" </w:instrText>
          </w:r>
          <w:r>
            <w:rPr>
              <w:highlight w:val="none"/>
            </w:rPr>
            <w:fldChar w:fldCharType="separate"/>
          </w:r>
          <w:r>
            <w:rPr>
              <w:rFonts w:hint="eastAsia" w:ascii="宋体" w:hAnsi="宋体" w:cs="宋体"/>
              <w:szCs w:val="21"/>
              <w:highlight w:val="none"/>
            </w:rPr>
            <w:t>第四章  合同条款及格式</w:t>
          </w:r>
          <w:r>
            <w:rPr>
              <w:szCs w:val="21"/>
              <w:highlight w:val="none"/>
            </w:rPr>
            <w:tab/>
          </w:r>
          <w:r>
            <w:rPr>
              <w:szCs w:val="21"/>
              <w:highlight w:val="none"/>
            </w:rPr>
            <w:fldChar w:fldCharType="begin"/>
          </w:r>
          <w:r>
            <w:rPr>
              <w:szCs w:val="21"/>
              <w:highlight w:val="none"/>
            </w:rPr>
            <w:instrText xml:space="preserve"> PAGEREF _Toc5864 \h </w:instrText>
          </w:r>
          <w:r>
            <w:rPr>
              <w:szCs w:val="21"/>
              <w:highlight w:val="none"/>
            </w:rPr>
            <w:fldChar w:fldCharType="separate"/>
          </w:r>
          <w:r>
            <w:rPr>
              <w:szCs w:val="21"/>
              <w:highlight w:val="none"/>
            </w:rPr>
            <w:t>22</w:t>
          </w:r>
          <w:r>
            <w:rPr>
              <w:szCs w:val="21"/>
              <w:highlight w:val="none"/>
            </w:rPr>
            <w:fldChar w:fldCharType="end"/>
          </w:r>
          <w:r>
            <w:rPr>
              <w:szCs w:val="21"/>
              <w:highlight w:val="none"/>
            </w:rPr>
            <w:fldChar w:fldCharType="end"/>
          </w:r>
        </w:p>
        <w:p w14:paraId="2738AA53">
          <w:pPr>
            <w:pStyle w:val="24"/>
            <w:tabs>
              <w:tab w:val="right" w:leader="dot" w:pos="8306"/>
            </w:tabs>
            <w:spacing w:line="360" w:lineRule="auto"/>
            <w:rPr>
              <w:szCs w:val="21"/>
              <w:highlight w:val="none"/>
            </w:rPr>
          </w:pPr>
          <w:r>
            <w:rPr>
              <w:highlight w:val="none"/>
            </w:rPr>
            <w:fldChar w:fldCharType="begin"/>
          </w:r>
          <w:r>
            <w:rPr>
              <w:highlight w:val="none"/>
            </w:rPr>
            <w:instrText xml:space="preserve"> HYPERLINK \l "_Toc20014" </w:instrText>
          </w:r>
          <w:r>
            <w:rPr>
              <w:highlight w:val="none"/>
            </w:rPr>
            <w:fldChar w:fldCharType="separate"/>
          </w:r>
          <w:r>
            <w:rPr>
              <w:rFonts w:hint="eastAsia" w:ascii="宋体" w:hAnsi="宋体" w:cs="宋体"/>
              <w:szCs w:val="21"/>
              <w:highlight w:val="none"/>
            </w:rPr>
            <w:t>第五章  采购需求</w:t>
          </w:r>
          <w:r>
            <w:rPr>
              <w:szCs w:val="21"/>
              <w:highlight w:val="none"/>
            </w:rPr>
            <w:tab/>
          </w:r>
          <w:r>
            <w:rPr>
              <w:szCs w:val="21"/>
              <w:highlight w:val="none"/>
            </w:rPr>
            <w:fldChar w:fldCharType="begin"/>
          </w:r>
          <w:r>
            <w:rPr>
              <w:szCs w:val="21"/>
              <w:highlight w:val="none"/>
            </w:rPr>
            <w:instrText xml:space="preserve"> PAGEREF _Toc20014 \h </w:instrText>
          </w:r>
          <w:r>
            <w:rPr>
              <w:szCs w:val="21"/>
              <w:highlight w:val="none"/>
            </w:rPr>
            <w:fldChar w:fldCharType="separate"/>
          </w:r>
          <w:r>
            <w:rPr>
              <w:szCs w:val="21"/>
              <w:highlight w:val="none"/>
            </w:rPr>
            <w:t>27</w:t>
          </w:r>
          <w:r>
            <w:rPr>
              <w:szCs w:val="21"/>
              <w:highlight w:val="none"/>
            </w:rPr>
            <w:fldChar w:fldCharType="end"/>
          </w:r>
          <w:r>
            <w:rPr>
              <w:szCs w:val="21"/>
              <w:highlight w:val="none"/>
            </w:rPr>
            <w:fldChar w:fldCharType="end"/>
          </w:r>
        </w:p>
        <w:p w14:paraId="43EB0827">
          <w:pPr>
            <w:pStyle w:val="24"/>
            <w:tabs>
              <w:tab w:val="right" w:leader="dot" w:pos="8306"/>
            </w:tabs>
            <w:spacing w:line="360" w:lineRule="auto"/>
            <w:rPr>
              <w:szCs w:val="21"/>
              <w:highlight w:val="none"/>
            </w:rPr>
          </w:pPr>
          <w:r>
            <w:rPr>
              <w:highlight w:val="none"/>
            </w:rPr>
            <w:fldChar w:fldCharType="begin"/>
          </w:r>
          <w:r>
            <w:rPr>
              <w:highlight w:val="none"/>
            </w:rPr>
            <w:instrText xml:space="preserve"> HYPERLINK \l "_Toc23706" </w:instrText>
          </w:r>
          <w:r>
            <w:rPr>
              <w:highlight w:val="none"/>
            </w:rPr>
            <w:fldChar w:fldCharType="separate"/>
          </w:r>
          <w:r>
            <w:rPr>
              <w:rFonts w:hint="eastAsia" w:ascii="宋体" w:hAnsi="宋体" w:cs="宋体"/>
              <w:szCs w:val="21"/>
              <w:highlight w:val="none"/>
            </w:rPr>
            <w:t>第六章  响应文件格式</w:t>
          </w:r>
          <w:r>
            <w:rPr>
              <w:szCs w:val="21"/>
              <w:highlight w:val="none"/>
            </w:rPr>
            <w:tab/>
          </w:r>
          <w:r>
            <w:rPr>
              <w:szCs w:val="21"/>
              <w:highlight w:val="none"/>
            </w:rPr>
            <w:fldChar w:fldCharType="begin"/>
          </w:r>
          <w:r>
            <w:rPr>
              <w:szCs w:val="21"/>
              <w:highlight w:val="none"/>
            </w:rPr>
            <w:instrText xml:space="preserve"> PAGEREF _Toc23706 \h </w:instrText>
          </w:r>
          <w:r>
            <w:rPr>
              <w:szCs w:val="21"/>
              <w:highlight w:val="none"/>
            </w:rPr>
            <w:fldChar w:fldCharType="separate"/>
          </w:r>
          <w:r>
            <w:rPr>
              <w:szCs w:val="21"/>
              <w:highlight w:val="none"/>
            </w:rPr>
            <w:t>31</w:t>
          </w:r>
          <w:r>
            <w:rPr>
              <w:szCs w:val="21"/>
              <w:highlight w:val="none"/>
            </w:rPr>
            <w:fldChar w:fldCharType="end"/>
          </w:r>
          <w:r>
            <w:rPr>
              <w:szCs w:val="21"/>
              <w:highlight w:val="none"/>
            </w:rPr>
            <w:fldChar w:fldCharType="end"/>
          </w:r>
        </w:p>
        <w:p w14:paraId="2AA48F98">
          <w:pPr>
            <w:pStyle w:val="24"/>
            <w:tabs>
              <w:tab w:val="right" w:leader="dot" w:pos="8306"/>
            </w:tabs>
            <w:spacing w:line="360" w:lineRule="auto"/>
            <w:rPr>
              <w:szCs w:val="21"/>
              <w:highlight w:val="none"/>
            </w:rPr>
          </w:pPr>
          <w:r>
            <w:rPr>
              <w:highlight w:val="none"/>
            </w:rPr>
            <w:fldChar w:fldCharType="begin"/>
          </w:r>
          <w:r>
            <w:rPr>
              <w:highlight w:val="none"/>
            </w:rPr>
            <w:instrText xml:space="preserve"> HYPERLINK \l "_Toc15246" </w:instrText>
          </w:r>
          <w:r>
            <w:rPr>
              <w:highlight w:val="none"/>
            </w:rPr>
            <w:fldChar w:fldCharType="separate"/>
          </w:r>
          <w:r>
            <w:rPr>
              <w:rFonts w:hint="eastAsia" w:ascii="宋体" w:hAnsi="宋体" w:cs="宋体"/>
              <w:szCs w:val="21"/>
              <w:highlight w:val="none"/>
            </w:rPr>
            <w:t>第七章  其他内容</w:t>
          </w:r>
          <w:r>
            <w:rPr>
              <w:szCs w:val="21"/>
              <w:highlight w:val="none"/>
            </w:rPr>
            <w:tab/>
          </w:r>
          <w:r>
            <w:rPr>
              <w:szCs w:val="21"/>
              <w:highlight w:val="none"/>
            </w:rPr>
            <w:fldChar w:fldCharType="begin"/>
          </w:r>
          <w:r>
            <w:rPr>
              <w:szCs w:val="21"/>
              <w:highlight w:val="none"/>
            </w:rPr>
            <w:instrText xml:space="preserve"> PAGEREF _Toc15246 \h </w:instrText>
          </w:r>
          <w:r>
            <w:rPr>
              <w:szCs w:val="21"/>
              <w:highlight w:val="none"/>
            </w:rPr>
            <w:fldChar w:fldCharType="separate"/>
          </w:r>
          <w:r>
            <w:rPr>
              <w:szCs w:val="21"/>
              <w:highlight w:val="none"/>
            </w:rPr>
            <w:t>46</w:t>
          </w:r>
          <w:r>
            <w:rPr>
              <w:szCs w:val="21"/>
              <w:highlight w:val="none"/>
            </w:rPr>
            <w:fldChar w:fldCharType="end"/>
          </w:r>
          <w:r>
            <w:rPr>
              <w:szCs w:val="21"/>
              <w:highlight w:val="none"/>
            </w:rPr>
            <w:fldChar w:fldCharType="end"/>
          </w:r>
        </w:p>
        <w:p w14:paraId="06258261">
          <w:pPr>
            <w:spacing w:line="360" w:lineRule="auto"/>
            <w:rPr>
              <w:rFonts w:hint="eastAsia" w:ascii="宋体" w:hAnsi="宋体" w:cs="宋体"/>
              <w:b/>
              <w:szCs w:val="21"/>
              <w:highlight w:val="none"/>
            </w:rPr>
          </w:pPr>
          <w:r>
            <w:rPr>
              <w:rFonts w:hint="eastAsia" w:ascii="宋体" w:hAnsi="宋体" w:cs="宋体"/>
              <w:szCs w:val="21"/>
              <w:highlight w:val="none"/>
            </w:rPr>
            <w:fldChar w:fldCharType="end"/>
          </w:r>
        </w:p>
      </w:sdtContent>
    </w:sdt>
    <w:p w14:paraId="680773A4">
      <w:pPr>
        <w:spacing w:line="560" w:lineRule="exact"/>
        <w:rPr>
          <w:rFonts w:hint="eastAsia" w:ascii="宋体" w:hAnsi="宋体" w:cs="宋体"/>
          <w:b/>
          <w:sz w:val="24"/>
          <w:highlight w:val="none"/>
        </w:rPr>
      </w:pPr>
    </w:p>
    <w:p w14:paraId="00EC4175">
      <w:pPr>
        <w:spacing w:line="560" w:lineRule="exact"/>
        <w:rPr>
          <w:rFonts w:hint="eastAsia" w:ascii="宋体" w:hAnsi="宋体" w:cs="宋体"/>
          <w:b/>
          <w:sz w:val="24"/>
          <w:highlight w:val="none"/>
        </w:rPr>
        <w:sectPr>
          <w:headerReference r:id="rId8" w:type="default"/>
          <w:footerReference r:id="rId9" w:type="default"/>
          <w:pgSz w:w="11906" w:h="16838"/>
          <w:pgMar w:top="1440" w:right="1800" w:bottom="1440" w:left="1800" w:header="851" w:footer="992" w:gutter="0"/>
          <w:cols w:space="425" w:num="1"/>
          <w:docGrid w:type="lines" w:linePitch="312" w:charSpace="0"/>
        </w:sectPr>
      </w:pPr>
    </w:p>
    <w:p w14:paraId="0297E80B">
      <w:pPr>
        <w:spacing w:line="560" w:lineRule="exact"/>
        <w:rPr>
          <w:rFonts w:hint="eastAsia" w:ascii="宋体" w:hAnsi="宋体" w:cs="宋体"/>
          <w:b/>
          <w:sz w:val="24"/>
          <w:highlight w:val="none"/>
        </w:rPr>
      </w:pPr>
    </w:p>
    <w:p w14:paraId="18ADACDD">
      <w:pPr>
        <w:spacing w:line="560" w:lineRule="exact"/>
        <w:rPr>
          <w:rFonts w:hint="eastAsia" w:ascii="宋体" w:hAnsi="宋体" w:cs="宋体"/>
          <w:b/>
          <w:sz w:val="24"/>
          <w:highlight w:val="none"/>
        </w:rPr>
      </w:pPr>
    </w:p>
    <w:p w14:paraId="59CD6878">
      <w:pPr>
        <w:spacing w:line="560" w:lineRule="exact"/>
        <w:rPr>
          <w:rFonts w:hint="eastAsia" w:ascii="宋体" w:hAnsi="宋体" w:cs="宋体"/>
          <w:b/>
          <w:sz w:val="24"/>
          <w:highlight w:val="none"/>
        </w:rPr>
      </w:pPr>
    </w:p>
    <w:p w14:paraId="382DAE68">
      <w:pPr>
        <w:pStyle w:val="31"/>
        <w:ind w:firstLine="241"/>
        <w:rPr>
          <w:rFonts w:hint="eastAsia" w:ascii="宋体" w:hAnsi="宋体" w:cs="宋体"/>
          <w:b/>
          <w:sz w:val="24"/>
          <w:highlight w:val="none"/>
        </w:rPr>
      </w:pPr>
    </w:p>
    <w:p w14:paraId="4B888FAA">
      <w:pPr>
        <w:pStyle w:val="31"/>
        <w:ind w:firstLine="241"/>
        <w:rPr>
          <w:rFonts w:hint="eastAsia" w:ascii="宋体" w:hAnsi="宋体" w:cs="宋体"/>
          <w:b/>
          <w:sz w:val="24"/>
          <w:highlight w:val="none"/>
        </w:rPr>
      </w:pPr>
    </w:p>
    <w:p w14:paraId="50FC5C53">
      <w:pPr>
        <w:pStyle w:val="31"/>
        <w:ind w:firstLine="241"/>
        <w:rPr>
          <w:rFonts w:hint="eastAsia" w:ascii="宋体" w:hAnsi="宋体" w:cs="宋体"/>
          <w:b/>
          <w:sz w:val="24"/>
          <w:highlight w:val="none"/>
        </w:rPr>
      </w:pPr>
    </w:p>
    <w:p w14:paraId="7C6EC7BF">
      <w:pPr>
        <w:pStyle w:val="31"/>
        <w:ind w:firstLine="241"/>
        <w:rPr>
          <w:rFonts w:hint="eastAsia" w:ascii="宋体" w:hAnsi="宋体" w:cs="宋体"/>
          <w:b/>
          <w:sz w:val="24"/>
          <w:highlight w:val="none"/>
        </w:rPr>
      </w:pPr>
    </w:p>
    <w:p w14:paraId="40F1E44C">
      <w:pPr>
        <w:pStyle w:val="31"/>
        <w:ind w:firstLine="241"/>
        <w:rPr>
          <w:rFonts w:hint="eastAsia" w:ascii="宋体" w:hAnsi="宋体" w:cs="宋体"/>
          <w:b/>
          <w:sz w:val="24"/>
          <w:highlight w:val="none"/>
        </w:rPr>
      </w:pPr>
    </w:p>
    <w:p w14:paraId="1ACFFF78">
      <w:pPr>
        <w:spacing w:line="560" w:lineRule="exact"/>
        <w:rPr>
          <w:rFonts w:hint="eastAsia" w:ascii="宋体" w:hAnsi="宋体" w:cs="宋体"/>
          <w:b/>
          <w:sz w:val="24"/>
          <w:highlight w:val="none"/>
        </w:rPr>
      </w:pPr>
    </w:p>
    <w:p w14:paraId="3888597D">
      <w:pPr>
        <w:spacing w:line="560" w:lineRule="exact"/>
        <w:ind w:right="-153" w:rightChars="-73"/>
        <w:jc w:val="center"/>
        <w:outlineLvl w:val="0"/>
        <w:rPr>
          <w:rFonts w:hint="eastAsia" w:ascii="宋体" w:hAnsi="宋体" w:cs="宋体"/>
          <w:b/>
          <w:sz w:val="44"/>
          <w:szCs w:val="40"/>
          <w:highlight w:val="none"/>
        </w:rPr>
      </w:pPr>
      <w:bookmarkStart w:id="0" w:name="_Toc15457"/>
      <w:r>
        <w:rPr>
          <w:rFonts w:hint="eastAsia" w:ascii="宋体" w:hAnsi="宋体" w:cs="宋体"/>
          <w:b/>
          <w:sz w:val="44"/>
          <w:szCs w:val="40"/>
          <w:highlight w:val="none"/>
        </w:rPr>
        <w:t>第一章  询比采购公告</w:t>
      </w:r>
      <w:bookmarkEnd w:id="0"/>
    </w:p>
    <w:p w14:paraId="61DDE168">
      <w:pPr>
        <w:spacing w:line="560" w:lineRule="exact"/>
        <w:ind w:right="-153" w:rightChars="-73"/>
        <w:rPr>
          <w:rFonts w:hint="eastAsia" w:ascii="宋体" w:hAnsi="宋体" w:cs="宋体"/>
          <w:b/>
          <w:sz w:val="52"/>
          <w:szCs w:val="48"/>
          <w:highlight w:val="none"/>
        </w:rPr>
      </w:pPr>
    </w:p>
    <w:p w14:paraId="181D3A2F">
      <w:pPr>
        <w:spacing w:line="560" w:lineRule="exact"/>
        <w:ind w:right="-153" w:rightChars="-73"/>
        <w:rPr>
          <w:rFonts w:hint="eastAsia" w:ascii="宋体" w:hAnsi="宋体" w:cs="宋体"/>
          <w:b/>
          <w:sz w:val="52"/>
          <w:szCs w:val="48"/>
          <w:highlight w:val="none"/>
        </w:rPr>
        <w:sectPr>
          <w:footerReference r:id="rId10" w:type="default"/>
          <w:pgSz w:w="11906" w:h="16838"/>
          <w:pgMar w:top="1440" w:right="1800" w:bottom="1440" w:left="1800" w:header="851" w:footer="992" w:gutter="0"/>
          <w:pgNumType w:start="1"/>
          <w:cols w:space="425" w:num="1"/>
          <w:docGrid w:type="lines" w:linePitch="312" w:charSpace="0"/>
        </w:sectPr>
      </w:pPr>
    </w:p>
    <w:p w14:paraId="344DEA07">
      <w:pPr>
        <w:pStyle w:val="13"/>
        <w:jc w:val="center"/>
        <w:rPr>
          <w:rFonts w:hint="eastAsia" w:ascii="宋体" w:hAnsi="宋体" w:eastAsia="宋体" w:cs="宋体"/>
          <w:b/>
          <w:sz w:val="28"/>
          <w:szCs w:val="28"/>
          <w:highlight w:val="none"/>
          <w:lang w:eastAsia="zh-CN"/>
        </w:rPr>
      </w:pPr>
      <w:r>
        <w:rPr>
          <w:rFonts w:hint="eastAsia" w:ascii="宋体" w:hAnsi="宋体" w:cs="宋体"/>
          <w:b/>
          <w:sz w:val="28"/>
          <w:szCs w:val="28"/>
          <w:highlight w:val="none"/>
          <w:lang w:eastAsia="zh-CN"/>
        </w:rPr>
        <w:t>2026年河南产互联制造业数据智能运营平台研发项目</w:t>
      </w:r>
    </w:p>
    <w:p w14:paraId="2C17D6ED">
      <w:pPr>
        <w:pStyle w:val="13"/>
        <w:jc w:val="center"/>
        <w:rPr>
          <w:rFonts w:hint="eastAsia" w:ascii="宋体" w:hAnsi="宋体" w:cs="宋体"/>
          <w:b/>
          <w:sz w:val="28"/>
          <w:szCs w:val="28"/>
          <w:highlight w:val="none"/>
        </w:rPr>
      </w:pPr>
      <w:r>
        <w:rPr>
          <w:rFonts w:hint="eastAsia" w:ascii="宋体" w:hAnsi="宋体" w:cs="宋体"/>
          <w:b/>
          <w:sz w:val="28"/>
          <w:szCs w:val="28"/>
          <w:highlight w:val="none"/>
        </w:rPr>
        <w:t>询比采购公告</w:t>
      </w:r>
    </w:p>
    <w:p w14:paraId="299D0768">
      <w:pPr>
        <w:spacing w:line="360" w:lineRule="auto"/>
        <w:rPr>
          <w:rFonts w:hint="eastAsia" w:ascii="宋体" w:hAnsi="宋体" w:cs="宋体"/>
          <w:b/>
          <w:szCs w:val="21"/>
          <w:highlight w:val="none"/>
        </w:rPr>
      </w:pPr>
    </w:p>
    <w:p w14:paraId="0831FB4C">
      <w:pPr>
        <w:spacing w:line="360" w:lineRule="auto"/>
        <w:rPr>
          <w:rFonts w:hint="eastAsia" w:ascii="宋体" w:hAnsi="宋体"/>
          <w:b/>
          <w:szCs w:val="21"/>
          <w:highlight w:val="none"/>
        </w:rPr>
      </w:pPr>
      <w:r>
        <w:rPr>
          <w:rFonts w:hint="eastAsia" w:ascii="宋体" w:hAnsi="宋体"/>
          <w:b/>
          <w:szCs w:val="21"/>
          <w:highlight w:val="none"/>
        </w:rPr>
        <w:t>一、项目条件</w:t>
      </w:r>
    </w:p>
    <w:p w14:paraId="00825646">
      <w:pPr>
        <w:pStyle w:val="51"/>
        <w:spacing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本项目为</w:t>
      </w:r>
      <w:r>
        <w:rPr>
          <w:rFonts w:hint="eastAsia" w:ascii="宋体" w:hAnsi="宋体" w:eastAsia="宋体" w:cs="宋体"/>
          <w:color w:val="auto"/>
          <w:kern w:val="2"/>
          <w:sz w:val="21"/>
          <w:szCs w:val="21"/>
          <w:highlight w:val="none"/>
          <w:lang w:eastAsia="zh-CN"/>
        </w:rPr>
        <w:t>2026年河南产互联制造业数据智能运营平台研发项目</w:t>
      </w:r>
      <w:r>
        <w:rPr>
          <w:rFonts w:hint="eastAsia" w:ascii="宋体" w:hAnsi="宋体" w:eastAsia="宋体" w:cs="宋体"/>
          <w:color w:val="auto"/>
          <w:kern w:val="2"/>
          <w:sz w:val="21"/>
          <w:szCs w:val="21"/>
          <w:highlight w:val="none"/>
        </w:rPr>
        <w:t>，采购人为</w:t>
      </w:r>
      <w:r>
        <w:rPr>
          <w:rFonts w:hint="eastAsia" w:ascii="宋体" w:hAnsi="宋体" w:eastAsia="宋体" w:cs="宋体"/>
          <w:color w:val="auto"/>
          <w:kern w:val="2"/>
          <w:sz w:val="21"/>
          <w:szCs w:val="21"/>
          <w:highlight w:val="none"/>
          <w:lang w:eastAsia="zh-CN"/>
        </w:rPr>
        <w:t>河南产业互联网联合发展有限公司</w:t>
      </w:r>
      <w:r>
        <w:rPr>
          <w:rFonts w:hint="eastAsia" w:ascii="宋体" w:hAnsi="宋体" w:eastAsia="宋体" w:cs="宋体"/>
          <w:color w:val="auto"/>
          <w:kern w:val="2"/>
          <w:sz w:val="21"/>
          <w:szCs w:val="21"/>
          <w:highlight w:val="none"/>
        </w:rPr>
        <w:t>，代理机构为河南省机电设备国际招标有限公司。欢迎符合要求的供应商参与，现将有关事项公告如下：</w:t>
      </w:r>
    </w:p>
    <w:p w14:paraId="23346FBB">
      <w:pPr>
        <w:spacing w:line="360" w:lineRule="auto"/>
        <w:rPr>
          <w:rFonts w:hint="eastAsia" w:ascii="宋体" w:hAnsi="宋体" w:cs="宋体"/>
          <w:b/>
          <w:szCs w:val="21"/>
          <w:highlight w:val="none"/>
        </w:rPr>
      </w:pPr>
      <w:r>
        <w:rPr>
          <w:rFonts w:hint="eastAsia" w:ascii="宋体" w:hAnsi="宋体" w:cs="宋体"/>
          <w:b/>
          <w:szCs w:val="21"/>
          <w:highlight w:val="none"/>
        </w:rPr>
        <w:t>二、</w:t>
      </w:r>
      <w:r>
        <w:rPr>
          <w:rFonts w:hint="eastAsia" w:ascii="宋体" w:hAnsi="宋体"/>
          <w:b/>
          <w:szCs w:val="21"/>
          <w:highlight w:val="none"/>
        </w:rPr>
        <w:t>项目基本情况</w:t>
      </w:r>
    </w:p>
    <w:p w14:paraId="2DAF2A88">
      <w:pPr>
        <w:pStyle w:val="51"/>
        <w:spacing w:line="360" w:lineRule="auto"/>
        <w:ind w:firstLine="420" w:firstLineChars="200"/>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t>2.1项目名称：</w:t>
      </w:r>
      <w:r>
        <w:rPr>
          <w:rFonts w:hint="eastAsia" w:ascii="宋体" w:hAnsi="宋体" w:eastAsia="宋体" w:cs="宋体"/>
          <w:color w:val="auto"/>
          <w:kern w:val="2"/>
          <w:sz w:val="21"/>
          <w:szCs w:val="21"/>
          <w:highlight w:val="none"/>
          <w:lang w:eastAsia="zh-CN"/>
        </w:rPr>
        <w:t>2026年河南产互联制造业数据智能运营平台研发项目</w:t>
      </w:r>
    </w:p>
    <w:p w14:paraId="33FF8154">
      <w:pPr>
        <w:pStyle w:val="51"/>
        <w:spacing w:line="360" w:lineRule="auto"/>
        <w:ind w:firstLine="420" w:firstLineChars="200"/>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t>2.2项目编号：0635-202611</w:t>
      </w:r>
      <w:r>
        <w:rPr>
          <w:rFonts w:hint="eastAsia" w:ascii="宋体" w:hAnsi="宋体" w:eastAsia="宋体" w:cs="宋体"/>
          <w:color w:val="auto"/>
          <w:kern w:val="2"/>
          <w:sz w:val="21"/>
          <w:szCs w:val="21"/>
          <w:highlight w:val="none"/>
          <w:lang w:eastAsia="zh-CN"/>
        </w:rPr>
        <w:t>FW0036</w:t>
      </w:r>
    </w:p>
    <w:p w14:paraId="6C115482">
      <w:pPr>
        <w:pStyle w:val="51"/>
        <w:spacing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2.3项目概况：</w:t>
      </w:r>
      <w:r>
        <w:rPr>
          <w:rFonts w:hint="eastAsia" w:ascii="宋体" w:hAnsi="宋体" w:eastAsia="宋体" w:cs="宋体"/>
          <w:color w:val="auto"/>
          <w:kern w:val="2"/>
          <w:sz w:val="21"/>
          <w:szCs w:val="21"/>
          <w:highlight w:val="none"/>
          <w:lang w:eastAsia="zh-CN"/>
        </w:rPr>
        <w:t>2026年河南产互联制造业数据智能运营平台研发</w:t>
      </w:r>
      <w:r>
        <w:rPr>
          <w:rFonts w:hint="eastAsia" w:ascii="宋体" w:hAnsi="宋体" w:eastAsia="宋体" w:cs="宋体"/>
          <w:color w:val="auto"/>
          <w:kern w:val="2"/>
          <w:sz w:val="21"/>
          <w:szCs w:val="21"/>
          <w:highlight w:val="none"/>
        </w:rPr>
        <w:t>。</w:t>
      </w:r>
    </w:p>
    <w:p w14:paraId="0EA7D113">
      <w:pPr>
        <w:pStyle w:val="51"/>
        <w:spacing w:line="360" w:lineRule="auto"/>
        <w:ind w:left="420" w:leftChars="200" w:firstLine="0" w:firstLineChars="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bidi="ar"/>
        </w:rPr>
        <w:t>2.4服务内容：</w:t>
      </w:r>
      <w:r>
        <w:rPr>
          <w:rFonts w:hint="eastAsia" w:ascii="宋体" w:hAnsi="宋体" w:eastAsia="宋体" w:cs="宋体"/>
          <w:color w:val="auto"/>
          <w:kern w:val="2"/>
          <w:sz w:val="21"/>
          <w:szCs w:val="21"/>
          <w:highlight w:val="none"/>
          <w:lang w:eastAsia="zh-CN"/>
        </w:rPr>
        <w:t>2026年河南产互联制造业数据智能运营平台研发，包括故障处理、系统巡检、版本升级、技术咨询等</w:t>
      </w:r>
    </w:p>
    <w:p w14:paraId="16AFF8EC">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2.5质量要求：符合国家、省、市相关规定及行业要求，满足采购人工作规范要求。</w:t>
      </w:r>
    </w:p>
    <w:p w14:paraId="745975A3">
      <w:pPr>
        <w:pStyle w:val="51"/>
        <w:spacing w:line="360" w:lineRule="auto"/>
        <w:ind w:left="420" w:leftChars="200" w:firstLine="0" w:firstLineChars="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bidi="ar"/>
        </w:rPr>
        <w:t>2.6服务期限：</w:t>
      </w:r>
      <w:r>
        <w:rPr>
          <w:rFonts w:hint="eastAsia" w:ascii="宋体" w:hAnsi="宋体" w:eastAsia="宋体" w:cs="宋体"/>
          <w:color w:val="auto"/>
          <w:sz w:val="21"/>
          <w:szCs w:val="21"/>
          <w:highlight w:val="none"/>
          <w:lang w:eastAsia="zh-CN" w:bidi="ar"/>
        </w:rPr>
        <w:t>1年；</w:t>
      </w:r>
    </w:p>
    <w:p w14:paraId="2A65A05D">
      <w:pPr>
        <w:pStyle w:val="51"/>
        <w:spacing w:line="360" w:lineRule="auto"/>
        <w:ind w:left="420" w:leftChars="200" w:firstLine="210" w:firstLineChars="10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bidi="ar"/>
        </w:rPr>
        <w:t>质保期：系统提供不低于1年的免费质保期</w:t>
      </w:r>
      <w:r>
        <w:rPr>
          <w:rFonts w:hint="eastAsia" w:ascii="宋体" w:hAnsi="宋体" w:eastAsia="宋体" w:cs="宋体"/>
          <w:color w:val="auto"/>
          <w:sz w:val="21"/>
          <w:szCs w:val="21"/>
          <w:highlight w:val="none"/>
          <w:lang w:eastAsia="zh-CN" w:bidi="ar"/>
        </w:rPr>
        <w:t>。</w:t>
      </w:r>
    </w:p>
    <w:p w14:paraId="619A7F8B">
      <w:pPr>
        <w:pStyle w:val="51"/>
        <w:spacing w:line="360" w:lineRule="auto"/>
        <w:ind w:left="420" w:leftChars="200" w:firstLine="0" w:firstLineChars="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bidi="ar"/>
        </w:rPr>
        <w:t>2.7服务地点：</w:t>
      </w:r>
      <w:r>
        <w:rPr>
          <w:rFonts w:hint="eastAsia" w:ascii="宋体" w:hAnsi="宋体" w:eastAsia="宋体" w:cs="宋体"/>
          <w:color w:val="auto"/>
          <w:sz w:val="21"/>
          <w:szCs w:val="21"/>
          <w:highlight w:val="none"/>
          <w:lang w:eastAsia="zh-CN" w:bidi="ar"/>
        </w:rPr>
        <w:t>采购人指定地点</w:t>
      </w:r>
    </w:p>
    <w:p w14:paraId="7F1BEDCE">
      <w:pPr>
        <w:pStyle w:val="51"/>
        <w:spacing w:line="360" w:lineRule="auto"/>
        <w:ind w:left="1890" w:leftChars="200" w:hanging="1470" w:hangingChars="7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2.8资金来源：自筹资金。</w:t>
      </w:r>
    </w:p>
    <w:p w14:paraId="6D7EF0C5">
      <w:pPr>
        <w:pStyle w:val="51"/>
        <w:spacing w:line="360" w:lineRule="auto"/>
        <w:ind w:left="420" w:leftChars="200" w:firstLine="0" w:firstLineChars="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2.9采购方式：询比采购。</w:t>
      </w:r>
    </w:p>
    <w:p w14:paraId="39E79600">
      <w:pPr>
        <w:pStyle w:val="51"/>
        <w:spacing w:line="360" w:lineRule="auto"/>
        <w:ind w:left="1890" w:leftChars="200" w:hanging="1470" w:hangingChars="7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2.10本项目为一个标段，确定一名成交人。</w:t>
      </w:r>
    </w:p>
    <w:p w14:paraId="04724F27">
      <w:pPr>
        <w:pStyle w:val="51"/>
        <w:spacing w:line="360" w:lineRule="auto"/>
        <w:ind w:left="1890" w:leftChars="200" w:hanging="1470" w:hangingChars="7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2.11项目最高限价：</w:t>
      </w:r>
      <w:r>
        <w:rPr>
          <w:rFonts w:hint="eastAsia" w:ascii="宋体" w:hAnsi="宋体" w:eastAsia="宋体" w:cs="宋体"/>
          <w:color w:val="auto"/>
          <w:kern w:val="2"/>
          <w:sz w:val="21"/>
          <w:szCs w:val="21"/>
          <w:highlight w:val="none"/>
          <w:lang w:val="en-US" w:eastAsia="zh-CN"/>
        </w:rPr>
        <w:t>60</w:t>
      </w:r>
      <w:r>
        <w:rPr>
          <w:rFonts w:hint="eastAsia" w:ascii="宋体" w:hAnsi="宋体" w:eastAsia="宋体" w:cs="宋体"/>
          <w:color w:val="auto"/>
          <w:kern w:val="2"/>
          <w:sz w:val="21"/>
          <w:szCs w:val="21"/>
          <w:highlight w:val="none"/>
        </w:rPr>
        <w:t>万元人民币</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含税）</w:t>
      </w:r>
      <w:r>
        <w:rPr>
          <w:rFonts w:hint="eastAsia" w:ascii="宋体" w:hAnsi="宋体" w:eastAsia="宋体" w:cs="宋体"/>
          <w:color w:val="auto"/>
          <w:kern w:val="2"/>
          <w:sz w:val="21"/>
          <w:szCs w:val="21"/>
          <w:highlight w:val="none"/>
        </w:rPr>
        <w:t>。</w:t>
      </w:r>
    </w:p>
    <w:p w14:paraId="305333C8">
      <w:pPr>
        <w:spacing w:line="360" w:lineRule="auto"/>
        <w:rPr>
          <w:rFonts w:hint="eastAsia" w:ascii="宋体" w:hAnsi="宋体" w:cs="宋体"/>
          <w:b/>
          <w:szCs w:val="21"/>
          <w:highlight w:val="none"/>
        </w:rPr>
      </w:pPr>
      <w:r>
        <w:rPr>
          <w:rFonts w:hint="eastAsia" w:ascii="宋体" w:hAnsi="宋体" w:cs="宋体"/>
          <w:b/>
          <w:szCs w:val="21"/>
          <w:highlight w:val="none"/>
        </w:rPr>
        <w:t>三、供应商资格要求</w:t>
      </w:r>
    </w:p>
    <w:p w14:paraId="34C69FEA">
      <w:pPr>
        <w:pStyle w:val="51"/>
        <w:spacing w:line="360" w:lineRule="auto"/>
        <w:ind w:left="420" w:leftChars="200" w:firstLine="0" w:firstLineChars="0"/>
        <w:rPr>
          <w:rFonts w:hint="eastAsia" w:ascii="宋体" w:hAnsi="宋体" w:eastAsia="宋体" w:cs="宋体"/>
          <w:color w:val="auto"/>
          <w:sz w:val="21"/>
          <w:szCs w:val="21"/>
          <w:highlight w:val="none"/>
          <w:lang w:bidi="ar"/>
        </w:rPr>
      </w:pPr>
      <w:bookmarkStart w:id="1" w:name="OLE_LINK1"/>
      <w:r>
        <w:rPr>
          <w:rFonts w:hint="eastAsia" w:ascii="宋体" w:hAnsi="宋体" w:eastAsia="宋体" w:cs="宋体"/>
          <w:color w:val="auto"/>
          <w:sz w:val="21"/>
          <w:szCs w:val="21"/>
          <w:highlight w:val="none"/>
          <w:lang w:val="en-US" w:eastAsia="zh-CN" w:bidi="ar"/>
        </w:rPr>
        <w:t>3.1</w:t>
      </w:r>
      <w:bookmarkEnd w:id="1"/>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为具有独立承担民事责任能力的法人或其他组织，须出具合法有效的企业法人营业执照、或事业单位法人证书、或登记证、或组织机构代码证等相关证明，提供相关证明的扫描件/复印件；</w:t>
      </w:r>
    </w:p>
    <w:p w14:paraId="7DD717A6">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val="en-US" w:eastAsia="zh-CN" w:bidi="ar"/>
        </w:rPr>
        <w:t>3.2</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须能够提供增值税专用发票(提供承诺书)；</w:t>
      </w:r>
    </w:p>
    <w:p w14:paraId="7FD9E624">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val="en-US" w:eastAsia="zh-CN" w:bidi="ar"/>
        </w:rPr>
        <w:t>3.3</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须提供2023年1月1日以来签订的</w:t>
      </w:r>
      <w:r>
        <w:rPr>
          <w:rFonts w:hint="eastAsia" w:ascii="宋体" w:hAnsi="宋体" w:eastAsia="宋体" w:cs="宋体"/>
          <w:color w:val="auto"/>
          <w:sz w:val="21"/>
          <w:szCs w:val="21"/>
          <w:highlight w:val="none"/>
          <w:lang w:eastAsia="zh-CN" w:bidi="ar"/>
        </w:rPr>
        <w:t>软件开发项目</w:t>
      </w:r>
      <w:r>
        <w:rPr>
          <w:rFonts w:hint="eastAsia" w:ascii="宋体" w:hAnsi="宋体" w:eastAsia="宋体" w:cs="宋体"/>
          <w:color w:val="auto"/>
          <w:sz w:val="21"/>
          <w:szCs w:val="21"/>
          <w:highlight w:val="none"/>
          <w:lang w:bidi="ar"/>
        </w:rPr>
        <w:t>案例1个，金额不低于</w:t>
      </w:r>
      <w:r>
        <w:rPr>
          <w:rFonts w:hint="eastAsia" w:ascii="宋体" w:hAnsi="宋体" w:eastAsia="宋体" w:cs="宋体"/>
          <w:color w:val="auto"/>
          <w:sz w:val="21"/>
          <w:szCs w:val="21"/>
          <w:highlight w:val="none"/>
          <w:lang w:val="en-US" w:eastAsia="zh-CN" w:bidi="ar"/>
        </w:rPr>
        <w:t>20万</w:t>
      </w:r>
      <w:r>
        <w:rPr>
          <w:rFonts w:hint="eastAsia" w:ascii="宋体" w:hAnsi="宋体" w:eastAsia="宋体" w:cs="宋体"/>
          <w:color w:val="auto"/>
          <w:sz w:val="21"/>
          <w:szCs w:val="21"/>
          <w:highlight w:val="none"/>
          <w:lang w:bidi="ar"/>
        </w:rPr>
        <w:t>元，提供合同（或框架协议）关键页扫描件/复印件，包括但不限于合同（或框架协议）首页、服务内容页、金额页、签字盖章页等，业绩金额以合同（框架协议业绩金额以2023年1月1日之后订单）对应的结算发票金额为准，提供发票扫描件及发票在网上税务系统（https://inv-veri.chinatax.gov.cn/）查询截图，证明材料须清晰完整；</w:t>
      </w:r>
    </w:p>
    <w:p w14:paraId="5F30AA1D">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val="en-US" w:eastAsia="zh-CN" w:bidi="ar"/>
        </w:rPr>
        <w:t>3.4</w:t>
      </w:r>
      <w:r>
        <w:rPr>
          <w:rFonts w:hint="eastAsia" w:ascii="宋体" w:hAnsi="宋体" w:eastAsia="宋体" w:cs="宋体"/>
          <w:color w:val="auto"/>
          <w:sz w:val="21"/>
          <w:szCs w:val="21"/>
          <w:highlight w:val="none"/>
          <w:lang w:bidi="ar"/>
        </w:rPr>
        <w:t>本项目不允许联合体应答，中选后不得转包；</w:t>
      </w:r>
    </w:p>
    <w:p w14:paraId="7D974FE5">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val="en-US" w:eastAsia="zh-CN" w:bidi="ar"/>
        </w:rPr>
        <w:t>3.5</w:t>
      </w:r>
      <w:r>
        <w:rPr>
          <w:rFonts w:hint="eastAsia" w:ascii="宋体" w:hAnsi="宋体" w:eastAsia="宋体" w:cs="宋体"/>
          <w:color w:val="auto"/>
          <w:sz w:val="21"/>
          <w:szCs w:val="21"/>
          <w:highlight w:val="none"/>
          <w:lang w:bidi="ar"/>
        </w:rPr>
        <w:t>对在“国家企业信用信息公示系统”中被列入“经营异常名录”、“严重违法失信名单”的</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，对在“信用中国”网站(www.creditchina.gov.cn)中被列入“失信被执行人”、“重大税收违法失信主体”、“政府采购严重违法失信行为记录名单”的</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，拒绝其参与本项目应答活动；</w:t>
      </w:r>
    </w:p>
    <w:p w14:paraId="2B1D7728">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val="en-US" w:eastAsia="zh-CN" w:bidi="ar"/>
        </w:rPr>
        <w:t>3.6</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不得存在下列情形之一：</w:t>
      </w:r>
    </w:p>
    <w:p w14:paraId="32B6AE1A">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1.</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被责令停业或破产状态的；</w:t>
      </w:r>
    </w:p>
    <w:p w14:paraId="62FBBF3C">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2.</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被暂停或取消投标资格的；</w:t>
      </w:r>
    </w:p>
    <w:p w14:paraId="15296C61">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3.</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财产被接管、查封、扣押或冻结的；</w:t>
      </w:r>
    </w:p>
    <w:p w14:paraId="7201D25B">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4.</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近三年（2023年1月1日至本项目评审之日），在河南</w:t>
      </w:r>
      <w:r>
        <w:rPr>
          <w:rFonts w:hint="eastAsia" w:ascii="宋体" w:hAnsi="宋体" w:eastAsia="宋体" w:cs="宋体"/>
          <w:color w:val="auto"/>
          <w:sz w:val="21"/>
          <w:szCs w:val="21"/>
          <w:highlight w:val="none"/>
          <w:lang w:val="en-US" w:eastAsia="zh-CN" w:bidi="ar"/>
        </w:rPr>
        <w:t>产互联</w:t>
      </w:r>
      <w:r>
        <w:rPr>
          <w:rFonts w:hint="eastAsia" w:ascii="宋体" w:hAnsi="宋体" w:eastAsia="宋体" w:cs="宋体"/>
          <w:color w:val="auto"/>
          <w:sz w:val="21"/>
          <w:szCs w:val="21"/>
          <w:highlight w:val="none"/>
          <w:lang w:bidi="ar"/>
        </w:rPr>
        <w:t>组织的采购活动中，被认定存在串标、围标、骗标等行为的。</w:t>
      </w:r>
    </w:p>
    <w:p w14:paraId="65273614">
      <w:pPr>
        <w:rPr>
          <w:rFonts w:hint="eastAsia"/>
          <w:highlight w:val="none"/>
        </w:rPr>
      </w:pPr>
    </w:p>
    <w:p w14:paraId="313C7857">
      <w:pPr>
        <w:spacing w:line="360" w:lineRule="auto"/>
        <w:rPr>
          <w:rFonts w:hint="eastAsia" w:ascii="宋体" w:hAnsi="宋体" w:cs="宋体"/>
          <w:highlight w:val="none"/>
        </w:rPr>
      </w:pPr>
      <w:r>
        <w:rPr>
          <w:rFonts w:hint="eastAsia" w:ascii="宋体" w:hAnsi="宋体" w:cs="宋体"/>
          <w:b/>
          <w:szCs w:val="21"/>
          <w:highlight w:val="none"/>
        </w:rPr>
        <w:t>四、获取采购文件时间、方式</w:t>
      </w:r>
    </w:p>
    <w:p w14:paraId="4CFD277E">
      <w:pPr>
        <w:spacing w:line="360" w:lineRule="auto"/>
        <w:ind w:firstLine="424" w:firstLineChars="202"/>
        <w:rPr>
          <w:rFonts w:hint="eastAsia" w:ascii="宋体" w:hAnsi="宋体" w:cs="宋体"/>
          <w:szCs w:val="21"/>
          <w:highlight w:val="none"/>
          <w:lang w:eastAsia="zh-CN"/>
        </w:rPr>
      </w:pPr>
      <w:bookmarkStart w:id="2" w:name="_Toc28934"/>
      <w:bookmarkStart w:id="3" w:name="_Toc5920"/>
      <w:bookmarkStart w:id="4" w:name="_Toc16019"/>
      <w:bookmarkStart w:id="5" w:name="_Toc12574_WPSOffice_Level2"/>
      <w:bookmarkStart w:id="6" w:name="_Toc26249_WPSOffice_Level2"/>
      <w:r>
        <w:rPr>
          <w:rFonts w:hint="eastAsia" w:ascii="宋体" w:hAnsi="宋体" w:cs="宋体"/>
          <w:szCs w:val="21"/>
          <w:highlight w:val="none"/>
          <w:lang w:val="en-US" w:eastAsia="zh-CN"/>
        </w:rPr>
        <w:t>1、</w:t>
      </w:r>
      <w:r>
        <w:rPr>
          <w:rFonts w:hint="eastAsia" w:ascii="宋体" w:hAnsi="宋体" w:cs="宋体"/>
          <w:szCs w:val="21"/>
          <w:highlight w:val="none"/>
          <w:lang w:eastAsia="zh-CN"/>
        </w:rPr>
        <w:t>凡有意参加的供应商，于202</w:t>
      </w:r>
      <w:r>
        <w:rPr>
          <w:rFonts w:hint="eastAsia" w:ascii="宋体" w:hAnsi="宋体" w:cs="宋体"/>
          <w:szCs w:val="21"/>
          <w:highlight w:val="none"/>
          <w:lang w:val="en-US" w:eastAsia="zh-CN"/>
        </w:rPr>
        <w:t>6</w:t>
      </w:r>
      <w:r>
        <w:rPr>
          <w:rFonts w:hint="eastAsia" w:ascii="宋体" w:hAnsi="宋体" w:cs="宋体"/>
          <w:szCs w:val="21"/>
          <w:highlight w:val="none"/>
          <w:lang w:eastAsia="zh-CN"/>
        </w:rPr>
        <w:t>年</w:t>
      </w:r>
      <w:r>
        <w:rPr>
          <w:rFonts w:hint="eastAsia" w:ascii="宋体" w:hAnsi="宋体" w:cs="宋体"/>
          <w:szCs w:val="21"/>
          <w:highlight w:val="none"/>
          <w:lang w:val="en-US" w:eastAsia="zh-CN"/>
        </w:rPr>
        <w:t>7</w:t>
      </w:r>
      <w:r>
        <w:rPr>
          <w:rFonts w:hint="eastAsia" w:ascii="宋体" w:hAnsi="宋体" w:cs="宋体"/>
          <w:szCs w:val="21"/>
          <w:highlight w:val="none"/>
          <w:lang w:eastAsia="zh-CN"/>
        </w:rPr>
        <w:t>月</w:t>
      </w:r>
      <w:r>
        <w:rPr>
          <w:rFonts w:hint="eastAsia" w:ascii="宋体" w:hAnsi="宋体" w:cs="宋体"/>
          <w:szCs w:val="21"/>
          <w:highlight w:val="none"/>
          <w:lang w:val="en-US" w:eastAsia="zh-CN"/>
        </w:rPr>
        <w:t>31</w:t>
      </w:r>
      <w:r>
        <w:rPr>
          <w:rFonts w:hint="eastAsia" w:ascii="宋体" w:hAnsi="宋体" w:cs="宋体"/>
          <w:szCs w:val="21"/>
          <w:highlight w:val="none"/>
          <w:lang w:eastAsia="zh-CN"/>
        </w:rPr>
        <w:t>日至202</w:t>
      </w:r>
      <w:r>
        <w:rPr>
          <w:rFonts w:hint="eastAsia" w:ascii="宋体" w:hAnsi="宋体" w:cs="宋体"/>
          <w:szCs w:val="21"/>
          <w:highlight w:val="none"/>
          <w:lang w:val="en-US" w:eastAsia="zh-CN"/>
        </w:rPr>
        <w:t>6</w:t>
      </w:r>
      <w:r>
        <w:rPr>
          <w:rFonts w:hint="eastAsia" w:ascii="宋体" w:hAnsi="宋体" w:cs="宋体"/>
          <w:szCs w:val="21"/>
          <w:highlight w:val="none"/>
          <w:lang w:eastAsia="zh-CN"/>
        </w:rPr>
        <w:t>年</w:t>
      </w:r>
      <w:r>
        <w:rPr>
          <w:rFonts w:hint="eastAsia" w:ascii="宋体" w:hAnsi="宋体" w:cs="宋体"/>
          <w:szCs w:val="21"/>
          <w:highlight w:val="none"/>
          <w:lang w:val="en-US" w:eastAsia="zh-CN"/>
        </w:rPr>
        <w:t>8</w:t>
      </w:r>
      <w:r>
        <w:rPr>
          <w:rFonts w:hint="eastAsia" w:ascii="宋体" w:hAnsi="宋体" w:cs="宋体"/>
          <w:szCs w:val="21"/>
          <w:highlight w:val="none"/>
          <w:lang w:eastAsia="zh-CN"/>
        </w:rPr>
        <w:t>月</w:t>
      </w:r>
      <w:r>
        <w:rPr>
          <w:rFonts w:hint="eastAsia" w:ascii="宋体" w:hAnsi="宋体" w:cs="宋体"/>
          <w:szCs w:val="21"/>
          <w:highlight w:val="none"/>
          <w:lang w:val="en-US" w:eastAsia="zh-CN"/>
        </w:rPr>
        <w:t>4</w:t>
      </w:r>
      <w:r>
        <w:rPr>
          <w:rFonts w:hint="eastAsia" w:ascii="宋体" w:hAnsi="宋体" w:cs="宋体"/>
          <w:szCs w:val="21"/>
          <w:highlight w:val="none"/>
          <w:lang w:eastAsia="zh-CN"/>
        </w:rPr>
        <w:t>日</w:t>
      </w:r>
      <w:r>
        <w:rPr>
          <w:rFonts w:hint="eastAsia" w:ascii="宋体" w:hAnsi="宋体" w:cs="宋体"/>
          <w:szCs w:val="21"/>
          <w:highlight w:val="none"/>
          <w:lang w:eastAsia="zh-CN"/>
        </w:rPr>
        <w:t>17:30时前，登录“机电国际阳光招采平台（http://www.hnjdgj.com/）”，通过投标人登录端口凭投标人账号或标证通扫码登录交易系统下载采购文件，具体投标人账号注册和采购文件下载流程详见机电国际阳光招采平台（http://www.hnjdgj.com/）--服务指南--机电国际阳光招采平台供应商操作手册。</w:t>
      </w:r>
    </w:p>
    <w:p w14:paraId="28A76AA0">
      <w:pPr>
        <w:spacing w:line="360" w:lineRule="auto"/>
        <w:ind w:firstLine="424" w:firstLineChars="202"/>
        <w:rPr>
          <w:rFonts w:hint="default" w:ascii="宋体" w:hAnsi="宋体" w:cs="宋体"/>
          <w:szCs w:val="21"/>
          <w:highlight w:val="none"/>
          <w:lang w:eastAsia="zh-CN"/>
        </w:rPr>
      </w:pPr>
      <w:r>
        <w:rPr>
          <w:rFonts w:hint="eastAsia" w:ascii="宋体" w:hAnsi="宋体" w:cs="宋体"/>
          <w:szCs w:val="21"/>
          <w:highlight w:val="none"/>
          <w:lang w:val="en-US" w:eastAsia="zh-CN"/>
        </w:rPr>
        <w:t>2、</w:t>
      </w:r>
      <w:r>
        <w:rPr>
          <w:rFonts w:hint="eastAsia" w:ascii="宋体" w:hAnsi="宋体" w:cs="宋体"/>
          <w:szCs w:val="21"/>
          <w:highlight w:val="none"/>
          <w:lang w:eastAsia="zh-CN"/>
        </w:rPr>
        <w:t>尚未办理标证通的，请及时办理标证通证书，并完成市场主体库相关信息；具体流程详见机电国际阳光招采平台（http://www.hnjdgj.com/）--服务指南--新点标证通操作手册。</w:t>
      </w:r>
    </w:p>
    <w:p w14:paraId="0ABB0ED4">
      <w:pPr>
        <w:spacing w:line="360" w:lineRule="auto"/>
        <w:ind w:firstLine="424" w:firstLineChars="202"/>
        <w:rPr>
          <w:rFonts w:hint="default" w:ascii="宋体" w:hAnsi="宋体" w:cs="宋体"/>
          <w:szCs w:val="21"/>
          <w:highlight w:val="none"/>
          <w:lang w:eastAsia="zh-CN"/>
        </w:rPr>
      </w:pPr>
      <w:r>
        <w:rPr>
          <w:rFonts w:hint="eastAsia" w:ascii="宋体" w:hAnsi="宋体" w:cs="宋体"/>
          <w:szCs w:val="21"/>
          <w:highlight w:val="none"/>
          <w:lang w:val="en-US" w:eastAsia="zh-CN"/>
        </w:rPr>
        <w:t>3、</w:t>
      </w:r>
      <w:r>
        <w:rPr>
          <w:rFonts w:hint="eastAsia" w:ascii="宋体" w:hAnsi="宋体" w:cs="宋体"/>
          <w:szCs w:val="21"/>
          <w:highlight w:val="none"/>
          <w:lang w:eastAsia="zh-CN"/>
        </w:rPr>
        <w:t>请供应商下载采购文件后，自行关注并查看系统业务菜单中的答疑澄清文件、异议回复等内容，因供应商未及时查看而导致的一切后果投标人自行承担。</w:t>
      </w:r>
    </w:p>
    <w:p w14:paraId="62407C08">
      <w:pPr>
        <w:spacing w:line="360" w:lineRule="auto"/>
        <w:ind w:firstLine="424" w:firstLineChars="202"/>
        <w:rPr>
          <w:rFonts w:hint="eastAsia" w:ascii="宋体" w:hAnsi="宋体" w:cs="宋体"/>
          <w:szCs w:val="21"/>
          <w:highlight w:val="none"/>
        </w:rPr>
      </w:pPr>
      <w:r>
        <w:rPr>
          <w:rFonts w:hint="eastAsia" w:ascii="宋体" w:hAnsi="宋体" w:cs="宋体"/>
          <w:szCs w:val="21"/>
          <w:highlight w:val="none"/>
          <w:lang w:val="en-US" w:eastAsia="zh-CN"/>
        </w:rPr>
        <w:t>4、</w:t>
      </w:r>
      <w:r>
        <w:rPr>
          <w:rFonts w:hint="eastAsia" w:ascii="宋体" w:hAnsi="宋体" w:cs="宋体"/>
          <w:szCs w:val="21"/>
          <w:highlight w:val="none"/>
          <w:lang w:eastAsia="zh-CN"/>
        </w:rPr>
        <w:t>供应商针对投标人注册、标证通（CA）证书办理、网上应答操作等相关业务的咨询，请拨打技术服务单位平台服务热线:0371-86136069。</w:t>
      </w:r>
    </w:p>
    <w:p w14:paraId="2C45E097">
      <w:pPr>
        <w:spacing w:line="360" w:lineRule="auto"/>
        <w:rPr>
          <w:rFonts w:hint="eastAsia" w:ascii="宋体" w:hAnsi="宋体" w:cs="宋体"/>
          <w:b/>
          <w:sz w:val="22"/>
          <w:szCs w:val="21"/>
          <w:highlight w:val="none"/>
        </w:rPr>
      </w:pPr>
      <w:r>
        <w:rPr>
          <w:rFonts w:hint="eastAsia" w:ascii="宋体" w:hAnsi="宋体" w:cs="宋体"/>
          <w:b/>
          <w:sz w:val="22"/>
          <w:szCs w:val="21"/>
          <w:highlight w:val="none"/>
        </w:rPr>
        <w:t>五、响应文件提交</w:t>
      </w:r>
      <w:bookmarkEnd w:id="2"/>
      <w:bookmarkEnd w:id="3"/>
      <w:bookmarkEnd w:id="4"/>
      <w:bookmarkEnd w:id="5"/>
    </w:p>
    <w:p w14:paraId="0FC5C02C">
      <w:pPr>
        <w:spacing w:line="360" w:lineRule="auto"/>
        <w:ind w:firstLine="424" w:firstLineChars="202"/>
        <w:rPr>
          <w:rFonts w:hint="eastAsia" w:ascii="宋体" w:hAnsi="宋体" w:cs="宋体"/>
          <w:szCs w:val="21"/>
          <w:highlight w:val="none"/>
        </w:rPr>
      </w:pPr>
      <w:r>
        <w:rPr>
          <w:rFonts w:hint="eastAsia" w:ascii="宋体" w:hAnsi="宋体" w:cs="宋体"/>
          <w:szCs w:val="21"/>
          <w:highlight w:val="none"/>
        </w:rPr>
        <w:t>5.1询</w:t>
      </w:r>
      <w:r>
        <w:rPr>
          <w:rFonts w:hint="eastAsia" w:ascii="宋体" w:hAnsi="宋体" w:cs="宋体"/>
          <w:bCs/>
          <w:sz w:val="22"/>
          <w:szCs w:val="21"/>
          <w:highlight w:val="none"/>
        </w:rPr>
        <w:t>比响</w:t>
      </w:r>
      <w:r>
        <w:rPr>
          <w:rFonts w:hint="eastAsia" w:ascii="宋体" w:hAnsi="宋体" w:cs="宋体"/>
          <w:szCs w:val="21"/>
          <w:highlight w:val="none"/>
        </w:rPr>
        <w:t>应文件递交的截止时间：202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8</w:t>
      </w:r>
      <w:r>
        <w:rPr>
          <w:rFonts w:hint="eastAsia" w:ascii="宋体" w:hAnsi="宋体" w:cs="宋体"/>
          <w:szCs w:val="21"/>
          <w:highlight w:val="none"/>
        </w:rPr>
        <w:t>月</w:t>
      </w:r>
      <w:r>
        <w:rPr>
          <w:rFonts w:hint="eastAsia" w:ascii="宋体" w:hAnsi="宋体" w:cs="宋体"/>
          <w:szCs w:val="21"/>
          <w:highlight w:val="none"/>
          <w:lang w:val="en-US" w:eastAsia="zh-CN"/>
        </w:rPr>
        <w:t>5</w:t>
      </w:r>
      <w:r>
        <w:rPr>
          <w:rFonts w:hint="eastAsia" w:ascii="宋体" w:hAnsi="宋体" w:cs="宋体"/>
          <w:szCs w:val="21"/>
          <w:highlight w:val="none"/>
        </w:rPr>
        <w:t>日</w:t>
      </w:r>
      <w:r>
        <w:rPr>
          <w:rFonts w:hint="eastAsia" w:ascii="宋体" w:hAnsi="宋体" w:cs="宋体"/>
          <w:szCs w:val="21"/>
          <w:highlight w:val="none"/>
        </w:rPr>
        <w:t>北京时间1</w:t>
      </w:r>
      <w:r>
        <w:rPr>
          <w:rFonts w:hint="eastAsia" w:ascii="宋体" w:hAnsi="宋体" w:cs="宋体"/>
          <w:szCs w:val="21"/>
          <w:highlight w:val="none"/>
          <w:lang w:val="en-US" w:eastAsia="zh-CN"/>
        </w:rPr>
        <w:t>0</w:t>
      </w:r>
      <w:r>
        <w:rPr>
          <w:rFonts w:hint="eastAsia" w:ascii="宋体" w:hAnsi="宋体" w:cs="宋体"/>
          <w:szCs w:val="21"/>
          <w:highlight w:val="none"/>
        </w:rPr>
        <w:t>:</w:t>
      </w:r>
      <w:r>
        <w:rPr>
          <w:rFonts w:hint="eastAsia" w:ascii="宋体" w:hAnsi="宋体" w:cs="宋体"/>
          <w:szCs w:val="21"/>
          <w:highlight w:val="none"/>
          <w:lang w:val="en-US" w:eastAsia="zh-CN"/>
        </w:rPr>
        <w:t>0</w:t>
      </w:r>
      <w:r>
        <w:rPr>
          <w:rFonts w:hint="eastAsia" w:ascii="宋体" w:hAnsi="宋体" w:cs="宋体"/>
          <w:szCs w:val="21"/>
          <w:highlight w:val="none"/>
        </w:rPr>
        <w:t>0时；</w:t>
      </w:r>
    </w:p>
    <w:p w14:paraId="306A1E1E">
      <w:pPr>
        <w:spacing w:line="360" w:lineRule="auto"/>
        <w:ind w:firstLine="424" w:firstLineChars="202"/>
        <w:rPr>
          <w:rFonts w:hint="eastAsia" w:ascii="宋体" w:hAnsi="宋体" w:cs="宋体"/>
          <w:szCs w:val="21"/>
          <w:highlight w:val="none"/>
        </w:rPr>
      </w:pPr>
      <w:r>
        <w:rPr>
          <w:rFonts w:hint="eastAsia" w:ascii="宋体" w:hAnsi="宋体" w:cs="宋体"/>
          <w:szCs w:val="21"/>
          <w:highlight w:val="none"/>
        </w:rPr>
        <w:t>5.2询比响应文件递交地址：</w:t>
      </w:r>
      <w:bookmarkStart w:id="7" w:name="OLE_LINK11"/>
      <w:bookmarkStart w:id="8" w:name="OLE_LINK2"/>
      <w:r>
        <w:rPr>
          <w:rFonts w:hint="eastAsia" w:ascii="宋体" w:hAnsi="宋体" w:cs="宋体"/>
          <w:bCs/>
          <w:szCs w:val="21"/>
          <w:highlight w:val="none"/>
        </w:rPr>
        <w:t>河南省郑州市黄河南路与商都路交叉口西南角财信大厦</w:t>
      </w:r>
      <w:bookmarkEnd w:id="7"/>
      <w:r>
        <w:rPr>
          <w:rFonts w:hint="eastAsia" w:ascii="宋体" w:hAnsi="宋体" w:cs="宋体"/>
          <w:bCs/>
          <w:szCs w:val="21"/>
          <w:highlight w:val="none"/>
          <w:lang w:eastAsia="zh-CN"/>
        </w:rPr>
        <w:t>14楼第二会议室</w:t>
      </w:r>
      <w:r>
        <w:rPr>
          <w:rFonts w:hint="eastAsia" w:ascii="宋体" w:hAnsi="宋体" w:cs="宋体"/>
          <w:szCs w:val="21"/>
          <w:highlight w:val="none"/>
        </w:rPr>
        <w:t>；</w:t>
      </w:r>
    </w:p>
    <w:bookmarkEnd w:id="8"/>
    <w:p w14:paraId="72123F56">
      <w:pPr>
        <w:spacing w:line="360" w:lineRule="auto"/>
        <w:ind w:firstLine="424" w:firstLineChars="202"/>
        <w:rPr>
          <w:rFonts w:hint="eastAsia" w:ascii="宋体" w:hAnsi="宋体" w:cs="宋体"/>
          <w:szCs w:val="21"/>
          <w:highlight w:val="none"/>
        </w:rPr>
      </w:pPr>
      <w:r>
        <w:rPr>
          <w:rFonts w:hint="eastAsia" w:ascii="宋体" w:hAnsi="宋体" w:cs="宋体"/>
          <w:szCs w:val="21"/>
          <w:highlight w:val="none"/>
        </w:rPr>
        <w:t>5.3逾期送达的、未送达指定地点的或者不按照采购文件要求密封的响应文件，采购人将予以拒收。</w:t>
      </w:r>
    </w:p>
    <w:p w14:paraId="4114A94C">
      <w:pPr>
        <w:spacing w:line="360" w:lineRule="auto"/>
        <w:rPr>
          <w:rFonts w:hint="eastAsia" w:ascii="宋体" w:hAnsi="宋体" w:cs="宋体"/>
          <w:b/>
          <w:szCs w:val="21"/>
          <w:highlight w:val="none"/>
        </w:rPr>
      </w:pPr>
      <w:r>
        <w:rPr>
          <w:rFonts w:hint="eastAsia" w:ascii="宋体" w:hAnsi="宋体" w:cs="宋体"/>
          <w:b/>
          <w:szCs w:val="21"/>
          <w:highlight w:val="none"/>
        </w:rPr>
        <w:t>六、发布公告的媒介</w:t>
      </w:r>
    </w:p>
    <w:bookmarkEnd w:id="6"/>
    <w:p w14:paraId="50AFA78B">
      <w:pPr>
        <w:spacing w:line="360" w:lineRule="auto"/>
        <w:ind w:firstLine="424" w:firstLineChars="202"/>
        <w:rPr>
          <w:rFonts w:hint="eastAsia" w:ascii="宋体" w:hAnsi="宋体" w:cs="宋体"/>
          <w:bCs/>
          <w:szCs w:val="21"/>
          <w:highlight w:val="none"/>
        </w:rPr>
      </w:pPr>
      <w:bookmarkStart w:id="9" w:name="_Toc13209_WPSOffice_Level2"/>
      <w:bookmarkStart w:id="10" w:name="_Toc21372_WPSOffice_Level2"/>
      <w:r>
        <w:rPr>
          <w:rFonts w:hint="eastAsia" w:ascii="宋体" w:hAnsi="宋体" w:cs="宋体"/>
          <w:szCs w:val="21"/>
          <w:highlight w:val="none"/>
        </w:rPr>
        <w:t>本次询比公告将在</w:t>
      </w:r>
      <w:r>
        <w:rPr>
          <w:rFonts w:hint="eastAsia" w:ascii="宋体" w:hAnsi="宋体" w:cs="宋体"/>
          <w:snapToGrid w:val="0"/>
          <w:kern w:val="24"/>
          <w:szCs w:val="21"/>
          <w:highlight w:val="none"/>
        </w:rPr>
        <w:t>《</w:t>
      </w:r>
      <w:r>
        <w:rPr>
          <w:rFonts w:hint="eastAsia" w:ascii="宋体" w:hAnsi="宋体" w:cs="宋体"/>
          <w:snapToGrid w:val="0"/>
          <w:kern w:val="24"/>
          <w:szCs w:val="21"/>
          <w:highlight w:val="none"/>
          <w:lang w:val="en-US" w:eastAsia="zh-CN"/>
        </w:rPr>
        <w:t>中国招标投标公共服务平台</w:t>
      </w:r>
      <w:r>
        <w:rPr>
          <w:rFonts w:hint="eastAsia" w:ascii="宋体" w:hAnsi="宋体" w:cs="宋体"/>
          <w:snapToGrid w:val="0"/>
          <w:kern w:val="24"/>
          <w:szCs w:val="21"/>
          <w:highlight w:val="none"/>
        </w:rPr>
        <w:t>》</w:t>
      </w:r>
      <w:r>
        <w:rPr>
          <w:rFonts w:hint="eastAsia" w:ascii="宋体" w:hAnsi="宋体" w:cs="宋体"/>
          <w:snapToGrid w:val="0"/>
          <w:kern w:val="24"/>
          <w:szCs w:val="21"/>
          <w:highlight w:val="none"/>
          <w:lang w:eastAsia="zh-CN"/>
        </w:rPr>
        <w:t>（</w:t>
      </w:r>
      <w:r>
        <w:rPr>
          <w:rFonts w:hint="eastAsia" w:ascii="宋体" w:hAnsi="宋体" w:cs="宋体"/>
          <w:snapToGrid w:val="0"/>
          <w:kern w:val="24"/>
          <w:szCs w:val="21"/>
          <w:highlight w:val="none"/>
          <w:lang w:val="en-US" w:eastAsia="zh-CN"/>
        </w:rPr>
        <w:t>www.cebpubservice.com</w:t>
      </w:r>
      <w:r>
        <w:rPr>
          <w:rFonts w:hint="eastAsia" w:ascii="宋体" w:hAnsi="宋体" w:cs="宋体"/>
          <w:snapToGrid w:val="0"/>
          <w:kern w:val="24"/>
          <w:szCs w:val="21"/>
          <w:highlight w:val="none"/>
          <w:lang w:eastAsia="zh-CN"/>
        </w:rPr>
        <w:t>）、《</w:t>
      </w:r>
      <w:r>
        <w:rPr>
          <w:rFonts w:hint="eastAsia" w:ascii="宋体" w:hAnsi="宋体" w:cs="宋体"/>
          <w:szCs w:val="21"/>
          <w:highlight w:val="none"/>
          <w:lang w:eastAsia="zh-CN"/>
        </w:rPr>
        <w:t>机电国际阳光招采平台</w:t>
      </w:r>
      <w:r>
        <w:rPr>
          <w:rFonts w:hint="eastAsia" w:ascii="宋体" w:hAnsi="宋体" w:cs="宋体"/>
          <w:snapToGrid w:val="0"/>
          <w:kern w:val="24"/>
          <w:szCs w:val="21"/>
          <w:highlight w:val="none"/>
          <w:lang w:eastAsia="zh-CN"/>
        </w:rPr>
        <w:t>》</w:t>
      </w:r>
      <w:r>
        <w:rPr>
          <w:rFonts w:hint="eastAsia" w:ascii="宋体" w:hAnsi="宋体" w:cs="宋体"/>
          <w:szCs w:val="21"/>
          <w:highlight w:val="none"/>
        </w:rPr>
        <w:t>上公开发布。采购人对其他任何转载信息及由此产生的后果均不承担任何责任。</w:t>
      </w:r>
    </w:p>
    <w:p w14:paraId="7DBB5EA7">
      <w:pPr>
        <w:spacing w:line="360" w:lineRule="auto"/>
        <w:rPr>
          <w:rFonts w:hint="eastAsia" w:ascii="宋体" w:hAnsi="宋体" w:cs="宋体"/>
          <w:b/>
          <w:szCs w:val="21"/>
          <w:highlight w:val="none"/>
        </w:rPr>
      </w:pPr>
      <w:r>
        <w:rPr>
          <w:rFonts w:hint="eastAsia" w:ascii="宋体" w:hAnsi="宋体" w:cs="宋体"/>
          <w:b/>
          <w:szCs w:val="21"/>
          <w:highlight w:val="none"/>
        </w:rPr>
        <w:t>七、</w:t>
      </w:r>
      <w:bookmarkEnd w:id="9"/>
      <w:bookmarkEnd w:id="10"/>
      <w:r>
        <w:rPr>
          <w:rFonts w:hint="eastAsia" w:ascii="宋体" w:hAnsi="宋体" w:cs="宋体"/>
          <w:b/>
          <w:szCs w:val="21"/>
          <w:highlight w:val="none"/>
        </w:rPr>
        <w:t>联系方式</w:t>
      </w:r>
    </w:p>
    <w:p w14:paraId="182B20BC">
      <w:pPr>
        <w:spacing w:line="360" w:lineRule="auto"/>
        <w:ind w:firstLine="424" w:firstLineChars="202"/>
        <w:rPr>
          <w:rFonts w:hint="eastAsia" w:ascii="宋体" w:hAnsi="宋体" w:eastAsia="宋体" w:cs="宋体"/>
          <w:highlight w:val="none"/>
          <w:lang w:eastAsia="zh-CN"/>
        </w:rPr>
      </w:pPr>
      <w:r>
        <w:rPr>
          <w:rFonts w:hint="eastAsia" w:ascii="宋体" w:hAnsi="宋体" w:cs="宋体"/>
          <w:highlight w:val="none"/>
        </w:rPr>
        <w:t>7.1</w:t>
      </w:r>
      <w:bookmarkStart w:id="11" w:name="OLE_LINK6"/>
      <w:r>
        <w:rPr>
          <w:rFonts w:hint="eastAsia" w:ascii="宋体" w:hAnsi="宋体" w:cs="宋体"/>
          <w:highlight w:val="none"/>
        </w:rPr>
        <w:t>采 购 人：</w:t>
      </w:r>
      <w:r>
        <w:rPr>
          <w:rFonts w:hint="eastAsia" w:ascii="宋体" w:hAnsi="宋体" w:cs="宋体"/>
          <w:szCs w:val="21"/>
          <w:highlight w:val="none"/>
          <w:lang w:eastAsia="zh-CN"/>
        </w:rPr>
        <w:t>河南产业互联网联合发展有限公司</w:t>
      </w:r>
    </w:p>
    <w:p w14:paraId="49938DB6">
      <w:pPr>
        <w:spacing w:line="360" w:lineRule="auto"/>
        <w:ind w:firstLine="424" w:firstLineChars="202"/>
        <w:rPr>
          <w:rFonts w:hint="eastAsia" w:ascii="宋体" w:hAnsi="宋体" w:cs="宋体"/>
          <w:highlight w:val="none"/>
        </w:rPr>
      </w:pPr>
      <w:r>
        <w:rPr>
          <w:rFonts w:hint="eastAsia" w:ascii="宋体" w:hAnsi="宋体" w:cs="宋体"/>
          <w:highlight w:val="none"/>
        </w:rPr>
        <w:t>地    址：河南省郑州市郑东新区郑开大道136号305室</w:t>
      </w:r>
    </w:p>
    <w:bookmarkEnd w:id="11"/>
    <w:p w14:paraId="3CB0488C">
      <w:pPr>
        <w:spacing w:line="360" w:lineRule="auto"/>
        <w:ind w:firstLine="424" w:firstLineChars="202"/>
        <w:rPr>
          <w:rFonts w:hint="eastAsia" w:ascii="宋体" w:hAnsi="宋体" w:eastAsia="宋体" w:cs="宋体"/>
          <w:highlight w:val="none"/>
          <w:lang w:val="en-US" w:eastAsia="zh-CN"/>
        </w:rPr>
      </w:pPr>
      <w:r>
        <w:rPr>
          <w:rFonts w:hint="eastAsia" w:ascii="宋体" w:hAnsi="宋体" w:cs="宋体"/>
          <w:highlight w:val="none"/>
        </w:rPr>
        <w:t>联 系 人：</w:t>
      </w:r>
      <w:r>
        <w:rPr>
          <w:rFonts w:hint="eastAsia" w:ascii="宋体" w:hAnsi="宋体" w:cs="宋体"/>
          <w:highlight w:val="none"/>
          <w:lang w:val="en-US" w:eastAsia="zh-CN"/>
        </w:rPr>
        <w:t>王老师</w:t>
      </w:r>
    </w:p>
    <w:p w14:paraId="51DBFCFF">
      <w:pPr>
        <w:spacing w:line="360" w:lineRule="auto"/>
        <w:ind w:firstLine="424" w:firstLineChars="202"/>
        <w:rPr>
          <w:rFonts w:hint="eastAsia" w:ascii="宋体" w:hAnsi="宋体" w:cs="宋体"/>
          <w:highlight w:val="none"/>
        </w:rPr>
      </w:pPr>
      <w:r>
        <w:rPr>
          <w:rFonts w:hint="eastAsia" w:ascii="宋体" w:hAnsi="宋体" w:cs="宋体"/>
          <w:highlight w:val="none"/>
        </w:rPr>
        <w:t>电    话：0371-66676661</w:t>
      </w:r>
    </w:p>
    <w:p w14:paraId="7F85B02E">
      <w:pPr>
        <w:spacing w:line="360" w:lineRule="auto"/>
        <w:ind w:firstLine="424" w:firstLineChars="202"/>
        <w:rPr>
          <w:rFonts w:hint="eastAsia" w:ascii="宋体" w:hAnsi="宋体" w:cs="宋体"/>
          <w:bCs/>
          <w:szCs w:val="21"/>
          <w:highlight w:val="none"/>
        </w:rPr>
      </w:pPr>
      <w:r>
        <w:rPr>
          <w:rFonts w:hint="eastAsia" w:ascii="宋体" w:hAnsi="宋体" w:cs="宋体"/>
          <w:bCs/>
          <w:szCs w:val="21"/>
          <w:highlight w:val="none"/>
        </w:rPr>
        <w:t>7.2采购代理：河南省机电设备国际招标有限公司</w:t>
      </w:r>
    </w:p>
    <w:p w14:paraId="46C4C3FB">
      <w:pPr>
        <w:spacing w:line="360" w:lineRule="auto"/>
        <w:ind w:firstLine="424" w:firstLineChars="202"/>
        <w:rPr>
          <w:rFonts w:hint="eastAsia" w:ascii="宋体" w:hAnsi="宋体" w:cs="宋体"/>
          <w:bCs/>
          <w:szCs w:val="21"/>
          <w:highlight w:val="none"/>
        </w:rPr>
      </w:pPr>
      <w:r>
        <w:rPr>
          <w:rFonts w:hint="eastAsia" w:ascii="宋体" w:hAnsi="宋体" w:cs="宋体"/>
          <w:bCs/>
          <w:szCs w:val="21"/>
          <w:highlight w:val="none"/>
        </w:rPr>
        <w:t>地    址：郑州市黄河南路与商都路交叉口西南角财信大厦140</w:t>
      </w:r>
      <w:r>
        <w:rPr>
          <w:rFonts w:hint="eastAsia" w:ascii="宋体" w:hAnsi="宋体" w:cs="宋体"/>
          <w:bCs/>
          <w:szCs w:val="21"/>
          <w:highlight w:val="none"/>
          <w:lang w:val="en-US" w:eastAsia="zh-CN"/>
        </w:rPr>
        <w:t>8</w:t>
      </w:r>
      <w:r>
        <w:rPr>
          <w:rFonts w:hint="eastAsia" w:ascii="宋体" w:hAnsi="宋体" w:cs="宋体"/>
          <w:bCs/>
          <w:szCs w:val="21"/>
          <w:highlight w:val="none"/>
        </w:rPr>
        <w:t>室</w:t>
      </w:r>
    </w:p>
    <w:p w14:paraId="059F43FC">
      <w:pPr>
        <w:spacing w:line="360" w:lineRule="auto"/>
        <w:ind w:firstLine="424" w:firstLineChars="202"/>
        <w:rPr>
          <w:rFonts w:hint="default" w:ascii="宋体" w:hAnsi="宋体" w:eastAsia="宋体" w:cs="宋体"/>
          <w:bCs/>
          <w:szCs w:val="21"/>
          <w:highlight w:val="none"/>
          <w:lang w:val="en-US" w:eastAsia="zh-CN"/>
        </w:rPr>
      </w:pPr>
      <w:r>
        <w:rPr>
          <w:rFonts w:hint="eastAsia" w:ascii="宋体" w:hAnsi="宋体" w:cs="宋体"/>
          <w:bCs/>
          <w:szCs w:val="21"/>
          <w:highlight w:val="none"/>
        </w:rPr>
        <w:t>联 系 人：</w:t>
      </w:r>
      <w:r>
        <w:rPr>
          <w:rFonts w:hint="eastAsia" w:ascii="宋体" w:hAnsi="宋体" w:cs="宋体"/>
          <w:bCs/>
          <w:szCs w:val="21"/>
          <w:highlight w:val="none"/>
          <w:lang w:eastAsia="zh-CN"/>
        </w:rPr>
        <w:t>陈鹏</w:t>
      </w:r>
      <w:r>
        <w:rPr>
          <w:rFonts w:hint="eastAsia" w:ascii="宋体" w:hAnsi="宋体" w:cs="宋体"/>
          <w:bCs/>
          <w:szCs w:val="21"/>
          <w:highlight w:val="none"/>
          <w:lang w:val="en-US" w:eastAsia="zh-CN"/>
        </w:rPr>
        <w:t xml:space="preserve">  刘倩  赵壮壮</w:t>
      </w:r>
    </w:p>
    <w:p w14:paraId="49FFDF2E">
      <w:pPr>
        <w:spacing w:line="360" w:lineRule="auto"/>
        <w:ind w:firstLine="424" w:firstLineChars="202"/>
        <w:rPr>
          <w:rFonts w:hint="default" w:ascii="宋体" w:hAnsi="宋体" w:eastAsia="宋体" w:cs="宋体"/>
          <w:bCs/>
          <w:szCs w:val="21"/>
          <w:highlight w:val="none"/>
          <w:lang w:val="en-US" w:eastAsia="zh-CN"/>
        </w:rPr>
      </w:pPr>
      <w:r>
        <w:rPr>
          <w:rFonts w:hint="eastAsia" w:ascii="宋体" w:hAnsi="宋体" w:cs="宋体"/>
          <w:bCs/>
          <w:szCs w:val="21"/>
          <w:highlight w:val="none"/>
        </w:rPr>
        <w:t>电    话：0371-</w:t>
      </w:r>
      <w:r>
        <w:rPr>
          <w:rFonts w:hint="eastAsia" w:ascii="宋体" w:hAnsi="宋体" w:cs="宋体"/>
          <w:bCs/>
          <w:szCs w:val="21"/>
          <w:highlight w:val="none"/>
          <w:lang w:val="en-US" w:eastAsia="zh-CN"/>
        </w:rPr>
        <w:t>86656599</w:t>
      </w:r>
    </w:p>
    <w:p w14:paraId="7821D03C">
      <w:pPr>
        <w:spacing w:line="360" w:lineRule="auto"/>
        <w:ind w:firstLine="424" w:firstLineChars="202"/>
        <w:rPr>
          <w:rFonts w:hint="eastAsia" w:ascii="宋体" w:hAnsi="宋体" w:eastAsia="宋体" w:cs="宋体"/>
          <w:bCs/>
          <w:szCs w:val="21"/>
          <w:highlight w:val="none"/>
          <w:lang w:eastAsia="zh-CN"/>
        </w:rPr>
      </w:pPr>
      <w:r>
        <w:rPr>
          <w:rFonts w:hint="eastAsia" w:ascii="宋体" w:hAnsi="宋体" w:cs="宋体"/>
          <w:bCs/>
          <w:szCs w:val="21"/>
          <w:highlight w:val="none"/>
        </w:rPr>
        <w:t>邮箱：</w:t>
      </w:r>
      <w:r>
        <w:rPr>
          <w:rFonts w:hint="eastAsia" w:ascii="宋体" w:hAnsi="宋体" w:cs="宋体"/>
          <w:bCs/>
          <w:szCs w:val="21"/>
          <w:highlight w:val="none"/>
          <w:lang w:eastAsia="zh-CN"/>
        </w:rPr>
        <w:t>jdgjzhaobiao11@163.com</w:t>
      </w:r>
    </w:p>
    <w:p w14:paraId="2B56B04D">
      <w:pPr>
        <w:pStyle w:val="25"/>
        <w:spacing w:line="360" w:lineRule="auto"/>
        <w:jc w:val="right"/>
        <w:rPr>
          <w:rFonts w:hint="eastAsia" w:ascii="宋体" w:hAnsi="宋体" w:cs="宋体"/>
          <w:b/>
          <w:sz w:val="32"/>
          <w:szCs w:val="32"/>
          <w:highlight w:val="none"/>
        </w:rPr>
      </w:pPr>
      <w:r>
        <w:rPr>
          <w:rFonts w:hint="eastAsia" w:ascii="宋体" w:hAnsi="宋体" w:cs="宋体"/>
          <w:bCs/>
          <w:szCs w:val="21"/>
          <w:highlight w:val="none"/>
        </w:rPr>
        <w:t xml:space="preserve">  </w:t>
      </w:r>
      <w:r>
        <w:rPr>
          <w:rFonts w:hint="eastAsia" w:ascii="宋体" w:hAnsi="宋体" w:cs="宋体"/>
          <w:szCs w:val="21"/>
          <w:highlight w:val="none"/>
        </w:rPr>
        <w:t>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7</w:t>
      </w:r>
      <w:r>
        <w:rPr>
          <w:rFonts w:hint="eastAsia" w:ascii="宋体" w:hAnsi="宋体" w:cs="宋体"/>
          <w:szCs w:val="21"/>
          <w:highlight w:val="none"/>
        </w:rPr>
        <w:t>月</w:t>
      </w:r>
      <w:r>
        <w:rPr>
          <w:rFonts w:hint="eastAsia" w:ascii="宋体" w:hAnsi="宋体" w:cs="宋体"/>
          <w:szCs w:val="21"/>
          <w:highlight w:val="none"/>
          <w:lang w:val="en-US" w:eastAsia="zh-CN"/>
        </w:rPr>
        <w:t>30</w:t>
      </w:r>
      <w:r>
        <w:rPr>
          <w:rFonts w:hint="eastAsia" w:ascii="宋体" w:hAnsi="宋体" w:cs="宋体"/>
          <w:szCs w:val="21"/>
          <w:highlight w:val="none"/>
        </w:rPr>
        <w:t>日</w:t>
      </w:r>
      <w:r>
        <w:rPr>
          <w:rFonts w:hint="eastAsia" w:ascii="宋体" w:hAnsi="宋体" w:cs="宋体"/>
          <w:b/>
          <w:sz w:val="32"/>
          <w:szCs w:val="32"/>
          <w:highlight w:val="none"/>
        </w:rPr>
        <w:br w:type="page"/>
      </w:r>
    </w:p>
    <w:p w14:paraId="37B652D7">
      <w:pPr>
        <w:rPr>
          <w:rFonts w:hint="eastAsia" w:ascii="宋体" w:hAnsi="宋体" w:cs="宋体"/>
          <w:highlight w:val="none"/>
        </w:rPr>
      </w:pPr>
    </w:p>
    <w:p w14:paraId="6894C5EA">
      <w:pPr>
        <w:rPr>
          <w:rFonts w:hint="eastAsia" w:ascii="宋体" w:hAnsi="宋体" w:cs="宋体"/>
          <w:highlight w:val="none"/>
        </w:rPr>
      </w:pPr>
    </w:p>
    <w:p w14:paraId="2E798A9C">
      <w:pPr>
        <w:rPr>
          <w:rFonts w:hint="eastAsia" w:ascii="宋体" w:hAnsi="宋体" w:cs="宋体"/>
          <w:highlight w:val="none"/>
        </w:rPr>
      </w:pPr>
    </w:p>
    <w:p w14:paraId="07C74C08">
      <w:pPr>
        <w:rPr>
          <w:rFonts w:hint="eastAsia" w:ascii="宋体" w:hAnsi="宋体" w:cs="宋体"/>
          <w:highlight w:val="none"/>
        </w:rPr>
      </w:pPr>
    </w:p>
    <w:p w14:paraId="03BC7BB8">
      <w:pPr>
        <w:rPr>
          <w:rFonts w:hint="eastAsia" w:ascii="宋体" w:hAnsi="宋体" w:cs="宋体"/>
          <w:highlight w:val="none"/>
        </w:rPr>
      </w:pPr>
    </w:p>
    <w:p w14:paraId="70E2E6C8">
      <w:pPr>
        <w:rPr>
          <w:rFonts w:hint="eastAsia" w:ascii="宋体" w:hAnsi="宋体" w:cs="宋体"/>
          <w:highlight w:val="none"/>
        </w:rPr>
      </w:pPr>
    </w:p>
    <w:p w14:paraId="4BBC758D">
      <w:pPr>
        <w:rPr>
          <w:rFonts w:hint="eastAsia" w:ascii="宋体" w:hAnsi="宋体" w:cs="宋体"/>
          <w:highlight w:val="none"/>
        </w:rPr>
      </w:pPr>
    </w:p>
    <w:p w14:paraId="17F67579">
      <w:pPr>
        <w:rPr>
          <w:rFonts w:hint="eastAsia" w:ascii="宋体" w:hAnsi="宋体" w:cs="宋体"/>
          <w:highlight w:val="none"/>
        </w:rPr>
      </w:pPr>
    </w:p>
    <w:p w14:paraId="65054EDD">
      <w:pPr>
        <w:rPr>
          <w:rFonts w:hint="eastAsia" w:ascii="宋体" w:hAnsi="宋体" w:cs="宋体"/>
          <w:highlight w:val="none"/>
        </w:rPr>
      </w:pPr>
    </w:p>
    <w:p w14:paraId="17AF5F10">
      <w:pPr>
        <w:rPr>
          <w:rFonts w:hint="eastAsia" w:ascii="宋体" w:hAnsi="宋体" w:cs="宋体"/>
          <w:highlight w:val="none"/>
        </w:rPr>
      </w:pPr>
    </w:p>
    <w:p w14:paraId="3DDE9612">
      <w:pPr>
        <w:rPr>
          <w:rFonts w:hint="eastAsia" w:ascii="宋体" w:hAnsi="宋体" w:cs="宋体"/>
          <w:highlight w:val="none"/>
        </w:rPr>
      </w:pPr>
    </w:p>
    <w:p w14:paraId="1F2FFF4B">
      <w:pPr>
        <w:rPr>
          <w:rFonts w:hint="eastAsia" w:ascii="宋体" w:hAnsi="宋体" w:cs="宋体"/>
          <w:highlight w:val="none"/>
        </w:rPr>
      </w:pPr>
    </w:p>
    <w:p w14:paraId="0F61900E">
      <w:pPr>
        <w:rPr>
          <w:rFonts w:hint="eastAsia" w:ascii="宋体" w:hAnsi="宋体" w:cs="宋体"/>
          <w:highlight w:val="none"/>
        </w:rPr>
      </w:pPr>
    </w:p>
    <w:p w14:paraId="2CE01838">
      <w:pPr>
        <w:rPr>
          <w:rFonts w:hint="eastAsia" w:ascii="宋体" w:hAnsi="宋体" w:cs="宋体"/>
          <w:highlight w:val="none"/>
        </w:rPr>
      </w:pPr>
    </w:p>
    <w:p w14:paraId="2C0DD97D">
      <w:pPr>
        <w:rPr>
          <w:rFonts w:hint="eastAsia" w:ascii="宋体" w:hAnsi="宋体" w:cs="宋体"/>
          <w:highlight w:val="none"/>
        </w:rPr>
      </w:pPr>
    </w:p>
    <w:p w14:paraId="2A5D4C48">
      <w:pPr>
        <w:rPr>
          <w:rFonts w:hint="eastAsia" w:ascii="宋体" w:hAnsi="宋体" w:cs="宋体"/>
          <w:highlight w:val="none"/>
        </w:rPr>
      </w:pPr>
    </w:p>
    <w:p w14:paraId="58441EA7">
      <w:pPr>
        <w:rPr>
          <w:rFonts w:hint="eastAsia" w:ascii="宋体" w:hAnsi="宋体" w:cs="宋体"/>
          <w:highlight w:val="none"/>
        </w:rPr>
      </w:pPr>
    </w:p>
    <w:p w14:paraId="4858C4DC">
      <w:pPr>
        <w:rPr>
          <w:rFonts w:hint="eastAsia" w:ascii="宋体" w:hAnsi="宋体" w:cs="宋体"/>
          <w:highlight w:val="none"/>
        </w:rPr>
      </w:pPr>
    </w:p>
    <w:p w14:paraId="1084FDBF">
      <w:pPr>
        <w:spacing w:line="560" w:lineRule="exact"/>
        <w:ind w:right="-153" w:rightChars="-73"/>
        <w:jc w:val="center"/>
        <w:outlineLvl w:val="0"/>
        <w:rPr>
          <w:rFonts w:hint="eastAsia" w:ascii="宋体" w:hAnsi="宋体" w:cs="宋体"/>
          <w:b/>
          <w:sz w:val="52"/>
          <w:szCs w:val="48"/>
          <w:highlight w:val="none"/>
        </w:rPr>
      </w:pPr>
      <w:bookmarkStart w:id="12" w:name="_Toc24047"/>
      <w:r>
        <w:rPr>
          <w:rFonts w:hint="eastAsia" w:ascii="宋体" w:hAnsi="宋体" w:cs="宋体"/>
          <w:b/>
          <w:sz w:val="52"/>
          <w:szCs w:val="48"/>
          <w:highlight w:val="none"/>
        </w:rPr>
        <w:t>第二章  供应商须知</w:t>
      </w:r>
      <w:bookmarkEnd w:id="12"/>
    </w:p>
    <w:p w14:paraId="59074959">
      <w:pPr>
        <w:jc w:val="center"/>
        <w:outlineLvl w:val="1"/>
        <w:rPr>
          <w:rFonts w:hint="eastAsia" w:ascii="宋体" w:hAnsi="宋体" w:cs="宋体"/>
          <w:b/>
          <w:bCs/>
          <w:i/>
          <w:iCs/>
          <w:kern w:val="0"/>
          <w:sz w:val="24"/>
          <w:szCs w:val="24"/>
          <w:highlight w:val="none"/>
        </w:rPr>
        <w:sectPr>
          <w:headerReference r:id="rId11" w:type="default"/>
          <w:pgSz w:w="11907" w:h="16840"/>
          <w:pgMar w:top="1354" w:right="1247" w:bottom="1134" w:left="1588" w:header="794" w:footer="1021" w:gutter="0"/>
          <w:cols w:space="720" w:num="1"/>
          <w:docGrid w:linePitch="326" w:charSpace="0"/>
        </w:sectPr>
      </w:pPr>
    </w:p>
    <w:p w14:paraId="0795C7AF">
      <w:pPr>
        <w:jc w:val="center"/>
        <w:outlineLvl w:val="1"/>
        <w:rPr>
          <w:rFonts w:hint="eastAsia" w:ascii="宋体" w:hAnsi="宋体" w:cs="宋体"/>
          <w:b/>
          <w:bCs/>
          <w:sz w:val="36"/>
          <w:szCs w:val="36"/>
          <w:highlight w:val="none"/>
        </w:rPr>
      </w:pPr>
      <w:bookmarkStart w:id="13" w:name="_Toc845"/>
      <w:bookmarkStart w:id="14" w:name="_Toc31780"/>
      <w:r>
        <w:rPr>
          <w:rFonts w:hint="eastAsia" w:ascii="宋体" w:hAnsi="宋体" w:cs="宋体"/>
          <w:b/>
          <w:bCs/>
          <w:sz w:val="36"/>
          <w:szCs w:val="36"/>
          <w:highlight w:val="none"/>
        </w:rPr>
        <w:t>供应商须知前附表</w:t>
      </w:r>
      <w:bookmarkEnd w:id="13"/>
      <w:bookmarkEnd w:id="14"/>
    </w:p>
    <w:tbl>
      <w:tblPr>
        <w:tblStyle w:val="33"/>
        <w:tblW w:w="95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6"/>
        <w:gridCol w:w="1744"/>
        <w:gridCol w:w="6784"/>
      </w:tblGrid>
      <w:tr w14:paraId="4E21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026" w:type="dxa"/>
            <w:vAlign w:val="center"/>
          </w:tcPr>
          <w:p w14:paraId="181A2AB7">
            <w:pPr>
              <w:autoSpaceDE w:val="0"/>
              <w:autoSpaceDN w:val="0"/>
              <w:adjustRightInd w:val="0"/>
              <w:snapToGrid w:val="0"/>
              <w:jc w:val="center"/>
              <w:rPr>
                <w:rFonts w:hint="eastAsia" w:ascii="宋体" w:hAnsi="宋体" w:cs="宋体"/>
                <w:b/>
                <w:kern w:val="0"/>
                <w:szCs w:val="21"/>
                <w:highlight w:val="none"/>
              </w:rPr>
            </w:pPr>
            <w:r>
              <w:rPr>
                <w:rFonts w:hint="eastAsia" w:ascii="宋体" w:hAnsi="宋体" w:cs="宋体"/>
                <w:b/>
                <w:kern w:val="0"/>
                <w:szCs w:val="21"/>
                <w:highlight w:val="none"/>
              </w:rPr>
              <w:t>条款号</w:t>
            </w:r>
          </w:p>
        </w:tc>
        <w:tc>
          <w:tcPr>
            <w:tcW w:w="1744" w:type="dxa"/>
            <w:vAlign w:val="center"/>
          </w:tcPr>
          <w:p w14:paraId="3EE5736A">
            <w:pPr>
              <w:autoSpaceDE w:val="0"/>
              <w:autoSpaceDN w:val="0"/>
              <w:adjustRightInd w:val="0"/>
              <w:snapToGrid w:val="0"/>
              <w:jc w:val="center"/>
              <w:rPr>
                <w:rFonts w:hint="eastAsia" w:ascii="宋体" w:hAnsi="宋体" w:cs="宋体"/>
                <w:b/>
                <w:kern w:val="0"/>
                <w:szCs w:val="21"/>
                <w:highlight w:val="none"/>
              </w:rPr>
            </w:pPr>
            <w:r>
              <w:rPr>
                <w:rFonts w:hint="eastAsia" w:ascii="宋体" w:hAnsi="宋体" w:cs="宋体"/>
                <w:b/>
                <w:kern w:val="0"/>
                <w:szCs w:val="21"/>
                <w:highlight w:val="none"/>
              </w:rPr>
              <w:t>条款名称</w:t>
            </w:r>
          </w:p>
        </w:tc>
        <w:tc>
          <w:tcPr>
            <w:tcW w:w="6784" w:type="dxa"/>
            <w:vAlign w:val="center"/>
          </w:tcPr>
          <w:p w14:paraId="0389878C">
            <w:pPr>
              <w:autoSpaceDE w:val="0"/>
              <w:autoSpaceDN w:val="0"/>
              <w:adjustRightInd w:val="0"/>
              <w:snapToGrid w:val="0"/>
              <w:jc w:val="center"/>
              <w:rPr>
                <w:rFonts w:hint="eastAsia" w:ascii="宋体" w:hAnsi="宋体" w:cs="宋体"/>
                <w:b/>
                <w:kern w:val="0"/>
                <w:szCs w:val="21"/>
                <w:highlight w:val="none"/>
              </w:rPr>
            </w:pPr>
            <w:r>
              <w:rPr>
                <w:rFonts w:hint="eastAsia" w:ascii="宋体" w:hAnsi="宋体" w:cs="宋体"/>
                <w:b/>
                <w:kern w:val="0"/>
                <w:szCs w:val="21"/>
                <w:highlight w:val="none"/>
              </w:rPr>
              <w:t>编列内容</w:t>
            </w:r>
          </w:p>
        </w:tc>
      </w:tr>
      <w:tr w14:paraId="76E90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7E938CA0">
            <w:pPr>
              <w:autoSpaceDE w:val="0"/>
              <w:autoSpaceDN w:val="0"/>
              <w:adjustRightInd w:val="0"/>
              <w:jc w:val="center"/>
              <w:rPr>
                <w:rFonts w:hint="eastAsia" w:ascii="宋体" w:hAnsi="宋体" w:cs="宋体"/>
                <w:kern w:val="0"/>
                <w:szCs w:val="21"/>
                <w:highlight w:val="none"/>
              </w:rPr>
            </w:pPr>
            <w:r>
              <w:rPr>
                <w:rFonts w:hint="eastAsia" w:ascii="宋体" w:hAnsi="宋体" w:cs="宋体"/>
                <w:kern w:val="0"/>
                <w:szCs w:val="21"/>
                <w:highlight w:val="none"/>
              </w:rPr>
              <w:t>2.1</w:t>
            </w:r>
          </w:p>
        </w:tc>
        <w:tc>
          <w:tcPr>
            <w:tcW w:w="1744" w:type="dxa"/>
            <w:vAlign w:val="center"/>
          </w:tcPr>
          <w:p w14:paraId="7D86DFB1">
            <w:pPr>
              <w:autoSpaceDE w:val="0"/>
              <w:autoSpaceDN w:val="0"/>
              <w:adjustRightInd w:val="0"/>
              <w:jc w:val="center"/>
              <w:rPr>
                <w:rFonts w:hint="eastAsia" w:ascii="宋体" w:hAnsi="宋体" w:cs="宋体"/>
                <w:kern w:val="0"/>
                <w:szCs w:val="21"/>
                <w:highlight w:val="none"/>
              </w:rPr>
            </w:pPr>
            <w:r>
              <w:rPr>
                <w:rFonts w:hint="eastAsia" w:ascii="宋体" w:hAnsi="宋体" w:cs="宋体"/>
                <w:kern w:val="0"/>
                <w:szCs w:val="21"/>
                <w:highlight w:val="none"/>
              </w:rPr>
              <w:t>采购人</w:t>
            </w:r>
          </w:p>
        </w:tc>
        <w:tc>
          <w:tcPr>
            <w:tcW w:w="6784" w:type="dxa"/>
            <w:vAlign w:val="center"/>
          </w:tcPr>
          <w:p w14:paraId="3A407606">
            <w:pPr>
              <w:spacing w:line="360" w:lineRule="auto"/>
              <w:rPr>
                <w:rFonts w:hint="eastAsia" w:ascii="宋体" w:hAnsi="宋体" w:eastAsia="宋体" w:cs="宋体"/>
                <w:highlight w:val="none"/>
                <w:lang w:eastAsia="zh-CN"/>
              </w:rPr>
            </w:pPr>
            <w:r>
              <w:rPr>
                <w:rFonts w:hint="eastAsia" w:ascii="宋体" w:hAnsi="宋体" w:cs="宋体"/>
                <w:highlight w:val="none"/>
              </w:rPr>
              <w:t>采 购 人：</w:t>
            </w:r>
            <w:r>
              <w:rPr>
                <w:rFonts w:hint="eastAsia" w:ascii="宋体" w:hAnsi="宋体" w:cs="宋体"/>
                <w:szCs w:val="21"/>
                <w:highlight w:val="none"/>
                <w:lang w:eastAsia="zh-CN"/>
              </w:rPr>
              <w:t>河南产业互联网联合发展有限公司</w:t>
            </w:r>
          </w:p>
          <w:p w14:paraId="55FC8D3C">
            <w:pPr>
              <w:spacing w:line="360" w:lineRule="auto"/>
              <w:rPr>
                <w:rFonts w:hint="eastAsia" w:ascii="宋体" w:hAnsi="宋体" w:cs="宋体"/>
                <w:highlight w:val="none"/>
              </w:rPr>
            </w:pPr>
            <w:r>
              <w:rPr>
                <w:rFonts w:hint="eastAsia" w:ascii="宋体" w:hAnsi="宋体" w:cs="宋体"/>
                <w:highlight w:val="none"/>
              </w:rPr>
              <w:t>地    址：河南省郑州市郑东新区郑开大道136号305室</w:t>
            </w:r>
          </w:p>
          <w:p w14:paraId="5FA1508E">
            <w:pPr>
              <w:spacing w:line="360" w:lineRule="auto"/>
              <w:rPr>
                <w:rFonts w:hint="eastAsia" w:ascii="宋体" w:hAnsi="宋体" w:eastAsia="宋体" w:cs="宋体"/>
                <w:highlight w:val="none"/>
                <w:lang w:val="en-US" w:eastAsia="zh-CN"/>
              </w:rPr>
            </w:pPr>
            <w:r>
              <w:rPr>
                <w:rFonts w:hint="eastAsia" w:ascii="宋体" w:hAnsi="宋体" w:cs="宋体"/>
                <w:highlight w:val="none"/>
              </w:rPr>
              <w:t>联 系 人：</w:t>
            </w:r>
            <w:r>
              <w:rPr>
                <w:rFonts w:hint="eastAsia" w:ascii="宋体" w:hAnsi="宋体" w:cs="宋体"/>
                <w:highlight w:val="none"/>
                <w:lang w:val="en-US" w:eastAsia="zh-CN"/>
              </w:rPr>
              <w:t>王老师</w:t>
            </w:r>
          </w:p>
          <w:p w14:paraId="610E2244">
            <w:pPr>
              <w:spacing w:line="360" w:lineRule="auto"/>
              <w:rPr>
                <w:rFonts w:hint="eastAsia" w:ascii="宋体" w:hAnsi="宋体" w:cs="宋体"/>
                <w:szCs w:val="21"/>
                <w:highlight w:val="none"/>
              </w:rPr>
            </w:pPr>
            <w:r>
              <w:rPr>
                <w:rFonts w:hint="eastAsia" w:ascii="宋体" w:hAnsi="宋体" w:cs="宋体"/>
                <w:highlight w:val="none"/>
              </w:rPr>
              <w:t>电    话：0371-66676661</w:t>
            </w:r>
          </w:p>
        </w:tc>
      </w:tr>
      <w:tr w14:paraId="79875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6588E11F">
            <w:pPr>
              <w:autoSpaceDE w:val="0"/>
              <w:autoSpaceDN w:val="0"/>
              <w:adjustRightInd w:val="0"/>
              <w:jc w:val="center"/>
              <w:rPr>
                <w:rFonts w:hint="eastAsia" w:ascii="宋体" w:hAnsi="宋体" w:cs="宋体"/>
                <w:kern w:val="0"/>
                <w:szCs w:val="21"/>
                <w:highlight w:val="none"/>
              </w:rPr>
            </w:pPr>
            <w:r>
              <w:rPr>
                <w:rFonts w:hint="eastAsia" w:ascii="宋体" w:hAnsi="宋体" w:cs="宋体"/>
                <w:kern w:val="0"/>
                <w:szCs w:val="21"/>
                <w:highlight w:val="none"/>
              </w:rPr>
              <w:t>2.2</w:t>
            </w:r>
          </w:p>
        </w:tc>
        <w:tc>
          <w:tcPr>
            <w:tcW w:w="1744" w:type="dxa"/>
            <w:vAlign w:val="center"/>
          </w:tcPr>
          <w:p w14:paraId="4F3160AA">
            <w:pPr>
              <w:autoSpaceDE w:val="0"/>
              <w:autoSpaceDN w:val="0"/>
              <w:adjustRightInd w:val="0"/>
              <w:jc w:val="center"/>
              <w:rPr>
                <w:rFonts w:hint="eastAsia" w:ascii="宋体" w:hAnsi="宋体" w:cs="宋体"/>
                <w:kern w:val="0"/>
                <w:szCs w:val="21"/>
                <w:highlight w:val="none"/>
              </w:rPr>
            </w:pPr>
            <w:r>
              <w:rPr>
                <w:rFonts w:hint="eastAsia" w:ascii="宋体" w:hAnsi="宋体" w:cs="宋体"/>
                <w:kern w:val="0"/>
                <w:szCs w:val="21"/>
                <w:highlight w:val="none"/>
              </w:rPr>
              <w:t>采购代理</w:t>
            </w:r>
          </w:p>
        </w:tc>
        <w:tc>
          <w:tcPr>
            <w:tcW w:w="6784" w:type="dxa"/>
            <w:vAlign w:val="center"/>
          </w:tcPr>
          <w:p w14:paraId="34564402">
            <w:pPr>
              <w:spacing w:line="360" w:lineRule="auto"/>
              <w:rPr>
                <w:rFonts w:hint="eastAsia" w:ascii="宋体" w:hAnsi="宋体" w:cs="宋体"/>
                <w:bCs/>
                <w:szCs w:val="21"/>
                <w:highlight w:val="none"/>
              </w:rPr>
            </w:pPr>
            <w:r>
              <w:rPr>
                <w:rFonts w:hint="eastAsia" w:ascii="宋体" w:hAnsi="宋体" w:cs="宋体"/>
                <w:bCs/>
                <w:szCs w:val="21"/>
                <w:highlight w:val="none"/>
              </w:rPr>
              <w:t>采购代理：河南省机电设备国际招标有限公司</w:t>
            </w:r>
          </w:p>
          <w:p w14:paraId="6C7BC9EE">
            <w:pPr>
              <w:spacing w:line="360" w:lineRule="auto"/>
              <w:rPr>
                <w:rFonts w:hint="eastAsia" w:ascii="宋体" w:hAnsi="宋体" w:cs="宋体"/>
                <w:bCs/>
                <w:szCs w:val="21"/>
                <w:highlight w:val="none"/>
              </w:rPr>
            </w:pPr>
            <w:r>
              <w:rPr>
                <w:rFonts w:hint="eastAsia" w:ascii="宋体" w:hAnsi="宋体" w:cs="宋体"/>
                <w:bCs/>
                <w:szCs w:val="21"/>
                <w:highlight w:val="none"/>
              </w:rPr>
              <w:t>地    址：郑州市黄河南路与商都路交叉口西南角财信大厦140</w:t>
            </w:r>
            <w:r>
              <w:rPr>
                <w:rFonts w:hint="eastAsia" w:ascii="宋体" w:hAnsi="宋体" w:cs="宋体"/>
                <w:bCs/>
                <w:szCs w:val="21"/>
                <w:highlight w:val="none"/>
                <w:lang w:val="en-US" w:eastAsia="zh-CN"/>
              </w:rPr>
              <w:t>8</w:t>
            </w:r>
            <w:r>
              <w:rPr>
                <w:rFonts w:hint="eastAsia" w:ascii="宋体" w:hAnsi="宋体" w:cs="宋体"/>
                <w:bCs/>
                <w:szCs w:val="21"/>
                <w:highlight w:val="none"/>
              </w:rPr>
              <w:t>室</w:t>
            </w:r>
          </w:p>
          <w:p w14:paraId="63FE9B0E">
            <w:pPr>
              <w:spacing w:line="360" w:lineRule="auto"/>
              <w:rPr>
                <w:rFonts w:hint="eastAsia" w:ascii="宋体" w:hAnsi="宋体" w:eastAsia="宋体" w:cs="宋体"/>
                <w:bCs/>
                <w:szCs w:val="21"/>
                <w:highlight w:val="none"/>
                <w:lang w:eastAsia="zh-CN"/>
              </w:rPr>
            </w:pPr>
            <w:r>
              <w:rPr>
                <w:rFonts w:hint="eastAsia" w:ascii="宋体" w:hAnsi="宋体" w:cs="宋体"/>
                <w:bCs/>
                <w:szCs w:val="21"/>
                <w:highlight w:val="none"/>
              </w:rPr>
              <w:t>联 系 人：</w:t>
            </w:r>
            <w:r>
              <w:rPr>
                <w:rFonts w:hint="eastAsia" w:ascii="宋体" w:hAnsi="宋体" w:cs="宋体"/>
                <w:bCs/>
                <w:szCs w:val="21"/>
                <w:highlight w:val="none"/>
                <w:lang w:eastAsia="zh-CN"/>
              </w:rPr>
              <w:t>陈鹏  刘倩  赵壮壮</w:t>
            </w:r>
          </w:p>
          <w:p w14:paraId="398F61FF">
            <w:pPr>
              <w:spacing w:line="360" w:lineRule="auto"/>
              <w:rPr>
                <w:rFonts w:hint="eastAsia" w:ascii="宋体" w:hAnsi="宋体" w:cs="宋体"/>
                <w:bCs/>
                <w:szCs w:val="21"/>
                <w:highlight w:val="none"/>
              </w:rPr>
            </w:pPr>
            <w:r>
              <w:rPr>
                <w:rFonts w:hint="eastAsia" w:ascii="宋体" w:hAnsi="宋体" w:cs="宋体"/>
                <w:bCs/>
                <w:szCs w:val="21"/>
                <w:highlight w:val="none"/>
              </w:rPr>
              <w:t>电    话：</w:t>
            </w:r>
            <w:r>
              <w:rPr>
                <w:rFonts w:hint="eastAsia" w:ascii="宋体" w:hAnsi="宋体" w:cs="宋体"/>
                <w:bCs/>
                <w:szCs w:val="21"/>
                <w:highlight w:val="none"/>
                <w:lang w:eastAsia="zh-CN"/>
              </w:rPr>
              <w:t>0371-86656599</w:t>
            </w:r>
            <w:r>
              <w:rPr>
                <w:rFonts w:hint="eastAsia" w:ascii="宋体" w:hAnsi="宋体" w:cs="宋体"/>
                <w:bCs/>
                <w:szCs w:val="21"/>
                <w:highlight w:val="none"/>
              </w:rPr>
              <w:t xml:space="preserve"> </w:t>
            </w:r>
          </w:p>
          <w:p w14:paraId="4CAF3B6B">
            <w:pPr>
              <w:spacing w:line="360" w:lineRule="auto"/>
              <w:rPr>
                <w:rFonts w:hint="eastAsia" w:ascii="宋体" w:hAnsi="宋体" w:eastAsia="宋体" w:cs="宋体"/>
                <w:kern w:val="0"/>
                <w:szCs w:val="21"/>
                <w:highlight w:val="none"/>
                <w:lang w:eastAsia="zh-CN"/>
              </w:rPr>
            </w:pPr>
            <w:r>
              <w:rPr>
                <w:rFonts w:hint="eastAsia" w:ascii="宋体" w:hAnsi="宋体" w:cs="宋体"/>
                <w:bCs/>
                <w:szCs w:val="21"/>
                <w:highlight w:val="none"/>
              </w:rPr>
              <w:t>邮箱：</w:t>
            </w:r>
            <w:r>
              <w:rPr>
                <w:rFonts w:hint="eastAsia" w:ascii="宋体" w:hAnsi="宋体" w:cs="宋体"/>
                <w:bCs/>
                <w:szCs w:val="21"/>
                <w:highlight w:val="none"/>
                <w:lang w:eastAsia="zh-CN"/>
              </w:rPr>
              <w:t>jdgjzhaobiao11@163.com</w:t>
            </w:r>
          </w:p>
        </w:tc>
      </w:tr>
      <w:tr w14:paraId="1333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5767C403">
            <w:pPr>
              <w:autoSpaceDE w:val="0"/>
              <w:autoSpaceDN w:val="0"/>
              <w:adjustRightInd w:val="0"/>
              <w:jc w:val="center"/>
              <w:rPr>
                <w:rFonts w:hint="eastAsia" w:ascii="宋体" w:hAnsi="宋体" w:cs="宋体"/>
                <w:kern w:val="0"/>
                <w:szCs w:val="21"/>
                <w:highlight w:val="none"/>
              </w:rPr>
            </w:pPr>
            <w:r>
              <w:rPr>
                <w:rFonts w:hint="eastAsia" w:ascii="宋体" w:hAnsi="宋体" w:cs="宋体"/>
                <w:kern w:val="0"/>
                <w:szCs w:val="21"/>
                <w:highlight w:val="none"/>
              </w:rPr>
              <w:t>3.1</w:t>
            </w:r>
          </w:p>
        </w:tc>
        <w:tc>
          <w:tcPr>
            <w:tcW w:w="1744" w:type="dxa"/>
            <w:vAlign w:val="center"/>
          </w:tcPr>
          <w:p w14:paraId="42D78E1E">
            <w:pPr>
              <w:autoSpaceDE w:val="0"/>
              <w:autoSpaceDN w:val="0"/>
              <w:adjustRightInd w:val="0"/>
              <w:jc w:val="center"/>
              <w:rPr>
                <w:rFonts w:hint="eastAsia" w:ascii="宋体" w:hAnsi="宋体" w:cs="宋体"/>
                <w:kern w:val="0"/>
                <w:szCs w:val="21"/>
                <w:highlight w:val="none"/>
              </w:rPr>
            </w:pPr>
            <w:r>
              <w:rPr>
                <w:rFonts w:hint="eastAsia" w:ascii="宋体" w:hAnsi="宋体" w:cs="宋体"/>
                <w:kern w:val="0"/>
                <w:szCs w:val="21"/>
                <w:highlight w:val="none"/>
              </w:rPr>
              <w:t>项目名称</w:t>
            </w:r>
          </w:p>
        </w:tc>
        <w:tc>
          <w:tcPr>
            <w:tcW w:w="6784" w:type="dxa"/>
            <w:vAlign w:val="center"/>
          </w:tcPr>
          <w:p w14:paraId="6273E55F">
            <w:pPr>
              <w:pStyle w:val="13"/>
              <w:rPr>
                <w:rFonts w:hint="eastAsia" w:ascii="宋体" w:hAnsi="宋体" w:eastAsia="宋体" w:cs="宋体"/>
                <w:bCs/>
                <w:szCs w:val="21"/>
                <w:highlight w:val="none"/>
                <w:lang w:eastAsia="zh-CN"/>
              </w:rPr>
            </w:pPr>
            <w:r>
              <w:rPr>
                <w:rFonts w:hint="eastAsia" w:ascii="宋体" w:hAnsi="宋体" w:cs="宋体"/>
                <w:sz w:val="21"/>
                <w:szCs w:val="21"/>
                <w:highlight w:val="none"/>
                <w:lang w:eastAsia="zh-CN"/>
              </w:rPr>
              <w:t>2026年河南产互联制造业数据智能运营平台研发项目</w:t>
            </w:r>
          </w:p>
        </w:tc>
      </w:tr>
      <w:tr w14:paraId="0D8A1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31BDD3F0">
            <w:pPr>
              <w:autoSpaceDE w:val="0"/>
              <w:autoSpaceDN w:val="0"/>
              <w:adjustRightInd w:val="0"/>
              <w:jc w:val="center"/>
              <w:rPr>
                <w:rFonts w:hint="eastAsia" w:ascii="宋体" w:hAnsi="宋体" w:cs="宋体"/>
                <w:kern w:val="0"/>
                <w:szCs w:val="21"/>
                <w:highlight w:val="none"/>
              </w:rPr>
            </w:pPr>
            <w:r>
              <w:rPr>
                <w:rFonts w:hint="eastAsia" w:ascii="宋体" w:hAnsi="宋体" w:cs="宋体"/>
                <w:kern w:val="0"/>
                <w:szCs w:val="21"/>
                <w:highlight w:val="none"/>
              </w:rPr>
              <w:t>3.2</w:t>
            </w:r>
          </w:p>
        </w:tc>
        <w:tc>
          <w:tcPr>
            <w:tcW w:w="1744" w:type="dxa"/>
            <w:vAlign w:val="center"/>
          </w:tcPr>
          <w:p w14:paraId="5A7863F2">
            <w:pPr>
              <w:autoSpaceDE w:val="0"/>
              <w:autoSpaceDN w:val="0"/>
              <w:adjustRightInd w:val="0"/>
              <w:jc w:val="center"/>
              <w:rPr>
                <w:rFonts w:hint="eastAsia" w:ascii="宋体" w:hAnsi="宋体" w:cs="宋体"/>
                <w:kern w:val="0"/>
                <w:szCs w:val="21"/>
                <w:highlight w:val="none"/>
              </w:rPr>
            </w:pPr>
            <w:r>
              <w:rPr>
                <w:rFonts w:hint="eastAsia" w:ascii="宋体" w:hAnsi="宋体" w:cs="宋体"/>
                <w:kern w:val="0"/>
                <w:szCs w:val="21"/>
                <w:highlight w:val="none"/>
              </w:rPr>
              <w:t>项目地点</w:t>
            </w:r>
          </w:p>
        </w:tc>
        <w:tc>
          <w:tcPr>
            <w:tcW w:w="6784" w:type="dxa"/>
            <w:vAlign w:val="center"/>
          </w:tcPr>
          <w:p w14:paraId="579F18DF">
            <w:pPr>
              <w:spacing w:line="360" w:lineRule="auto"/>
              <w:rPr>
                <w:rFonts w:hint="eastAsia" w:ascii="宋体" w:hAnsi="宋体" w:eastAsia="宋体" w:cs="宋体"/>
                <w:kern w:val="0"/>
                <w:szCs w:val="21"/>
                <w:highlight w:val="none"/>
                <w:lang w:val="en-US" w:eastAsia="zh-CN"/>
              </w:rPr>
            </w:pPr>
            <w:r>
              <w:rPr>
                <w:rFonts w:hint="eastAsia" w:ascii="宋体" w:hAnsi="宋体" w:cs="宋体"/>
                <w:szCs w:val="21"/>
                <w:highlight w:val="none"/>
                <w:lang w:eastAsia="zh-CN"/>
              </w:rPr>
              <w:t>河南</w:t>
            </w:r>
            <w:r>
              <w:rPr>
                <w:rFonts w:hint="eastAsia" w:ascii="宋体" w:hAnsi="宋体" w:cs="宋体"/>
                <w:szCs w:val="21"/>
                <w:highlight w:val="none"/>
                <w:lang w:val="en-US" w:eastAsia="zh-CN"/>
              </w:rPr>
              <w:t>郑州</w:t>
            </w:r>
          </w:p>
        </w:tc>
      </w:tr>
      <w:tr w14:paraId="7906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062E1566">
            <w:pPr>
              <w:autoSpaceDE w:val="0"/>
              <w:autoSpaceDN w:val="0"/>
              <w:adjustRightInd w:val="0"/>
              <w:jc w:val="center"/>
              <w:rPr>
                <w:rFonts w:hint="eastAsia" w:ascii="宋体" w:hAnsi="宋体" w:cs="宋体"/>
                <w:kern w:val="0"/>
                <w:szCs w:val="21"/>
                <w:highlight w:val="none"/>
              </w:rPr>
            </w:pPr>
            <w:r>
              <w:rPr>
                <w:rFonts w:hint="eastAsia" w:ascii="宋体" w:hAnsi="宋体" w:cs="宋体"/>
                <w:kern w:val="0"/>
                <w:szCs w:val="21"/>
                <w:highlight w:val="none"/>
              </w:rPr>
              <w:t>3.3</w:t>
            </w:r>
          </w:p>
        </w:tc>
        <w:tc>
          <w:tcPr>
            <w:tcW w:w="1744" w:type="dxa"/>
            <w:vAlign w:val="center"/>
          </w:tcPr>
          <w:p w14:paraId="30F7A686">
            <w:pPr>
              <w:autoSpaceDE w:val="0"/>
              <w:autoSpaceDN w:val="0"/>
              <w:adjustRightInd w:val="0"/>
              <w:jc w:val="center"/>
              <w:rPr>
                <w:rFonts w:hint="eastAsia" w:ascii="宋体" w:hAnsi="宋体" w:eastAsia="宋体" w:cs="宋体"/>
                <w:kern w:val="0"/>
                <w:szCs w:val="21"/>
                <w:highlight w:val="none"/>
                <w:lang w:eastAsia="zh-CN"/>
              </w:rPr>
            </w:pPr>
            <w:r>
              <w:rPr>
                <w:rFonts w:hint="eastAsia" w:ascii="宋体" w:hAnsi="宋体" w:cs="宋体"/>
                <w:kern w:val="0"/>
                <w:szCs w:val="21"/>
                <w:highlight w:val="none"/>
                <w:lang w:val="en-US" w:eastAsia="zh-CN"/>
              </w:rPr>
              <w:t>服务内容</w:t>
            </w:r>
          </w:p>
        </w:tc>
        <w:tc>
          <w:tcPr>
            <w:tcW w:w="6784" w:type="dxa"/>
            <w:vAlign w:val="center"/>
          </w:tcPr>
          <w:p w14:paraId="27BC2C90">
            <w:pPr>
              <w:autoSpaceDE w:val="0"/>
              <w:autoSpaceDN w:val="0"/>
              <w:adjustRightInd w:val="0"/>
              <w:jc w:val="left"/>
              <w:rPr>
                <w:rFonts w:hint="eastAsia" w:ascii="宋体" w:hAnsi="宋体" w:eastAsia="宋体" w:cs="宋体"/>
                <w:kern w:val="0"/>
                <w:szCs w:val="21"/>
                <w:highlight w:val="none"/>
                <w:lang w:eastAsia="zh-CN"/>
              </w:rPr>
            </w:pPr>
            <w:r>
              <w:rPr>
                <w:rFonts w:hint="eastAsia" w:ascii="宋体" w:hAnsi="宋体" w:cs="宋体"/>
                <w:color w:val="auto"/>
                <w:sz w:val="21"/>
                <w:szCs w:val="21"/>
                <w:highlight w:val="none"/>
                <w:lang w:eastAsia="zh-CN" w:bidi="ar"/>
              </w:rPr>
              <w:t>2026年河南产互联制造业数据智能运营平台研发，包括故障处理、系统巡检、版本升级、技术咨询等</w:t>
            </w:r>
          </w:p>
        </w:tc>
      </w:tr>
      <w:tr w14:paraId="0D62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00F32798">
            <w:pPr>
              <w:autoSpaceDE w:val="0"/>
              <w:autoSpaceDN w:val="0"/>
              <w:adjustRightInd w:val="0"/>
              <w:jc w:val="center"/>
              <w:rPr>
                <w:rFonts w:hint="eastAsia" w:ascii="宋体" w:hAnsi="宋体" w:cs="宋体"/>
                <w:kern w:val="0"/>
                <w:szCs w:val="21"/>
                <w:highlight w:val="none"/>
              </w:rPr>
            </w:pPr>
            <w:r>
              <w:rPr>
                <w:rFonts w:hint="eastAsia" w:ascii="宋体" w:hAnsi="宋体" w:cs="宋体"/>
                <w:kern w:val="0"/>
                <w:szCs w:val="21"/>
                <w:highlight w:val="none"/>
              </w:rPr>
              <w:t>3.4</w:t>
            </w:r>
          </w:p>
        </w:tc>
        <w:tc>
          <w:tcPr>
            <w:tcW w:w="1744" w:type="dxa"/>
            <w:vAlign w:val="center"/>
          </w:tcPr>
          <w:p w14:paraId="0B429703">
            <w:pPr>
              <w:autoSpaceDE w:val="0"/>
              <w:autoSpaceDN w:val="0"/>
              <w:adjustRightInd w:val="0"/>
              <w:jc w:val="center"/>
              <w:rPr>
                <w:rFonts w:hint="eastAsia" w:ascii="宋体" w:hAnsi="宋体" w:cs="宋体"/>
                <w:kern w:val="0"/>
                <w:szCs w:val="21"/>
                <w:highlight w:val="none"/>
              </w:rPr>
            </w:pPr>
            <w:r>
              <w:rPr>
                <w:rFonts w:hint="eastAsia" w:ascii="宋体" w:hAnsi="宋体" w:cs="宋体"/>
                <w:kern w:val="0"/>
                <w:szCs w:val="21"/>
                <w:highlight w:val="none"/>
              </w:rPr>
              <w:t>质量要求</w:t>
            </w:r>
          </w:p>
        </w:tc>
        <w:tc>
          <w:tcPr>
            <w:tcW w:w="6784" w:type="dxa"/>
            <w:vAlign w:val="center"/>
          </w:tcPr>
          <w:p w14:paraId="14A808B0">
            <w:pPr>
              <w:pStyle w:val="51"/>
              <w:spacing w:line="360" w:lineRule="auto"/>
              <w:rPr>
                <w:rFonts w:hint="eastAsia" w:ascii="宋体" w:hAnsi="宋体" w:eastAsia="宋体" w:cs="宋体"/>
                <w:bCs/>
                <w:color w:val="auto"/>
                <w:kern w:val="2"/>
                <w:sz w:val="21"/>
                <w:szCs w:val="21"/>
                <w:highlight w:val="none"/>
              </w:rPr>
            </w:pPr>
            <w:r>
              <w:rPr>
                <w:rFonts w:hint="eastAsia" w:ascii="宋体" w:hAnsi="宋体" w:eastAsia="宋体" w:cs="宋体"/>
                <w:color w:val="auto"/>
                <w:sz w:val="21"/>
                <w:szCs w:val="21"/>
                <w:highlight w:val="none"/>
              </w:rPr>
              <w:t>符合国家、省、市相关规定及行业要求，满足采购人工作规范要求。</w:t>
            </w:r>
          </w:p>
        </w:tc>
      </w:tr>
      <w:tr w14:paraId="16FDD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26" w:type="dxa"/>
            <w:vAlign w:val="center"/>
          </w:tcPr>
          <w:p w14:paraId="04EF5C7D">
            <w:pPr>
              <w:autoSpaceDE w:val="0"/>
              <w:autoSpaceDN w:val="0"/>
              <w:adjustRightInd w:val="0"/>
              <w:jc w:val="center"/>
              <w:rPr>
                <w:rFonts w:hint="eastAsia" w:ascii="宋体" w:hAnsi="宋体" w:cs="宋体"/>
                <w:kern w:val="0"/>
                <w:szCs w:val="21"/>
                <w:highlight w:val="none"/>
              </w:rPr>
            </w:pPr>
            <w:r>
              <w:rPr>
                <w:rFonts w:hint="eastAsia" w:ascii="宋体" w:hAnsi="宋体" w:cs="宋体"/>
                <w:kern w:val="0"/>
                <w:szCs w:val="21"/>
                <w:highlight w:val="none"/>
              </w:rPr>
              <w:t>3.5</w:t>
            </w:r>
          </w:p>
        </w:tc>
        <w:tc>
          <w:tcPr>
            <w:tcW w:w="1744" w:type="dxa"/>
            <w:vAlign w:val="center"/>
          </w:tcPr>
          <w:p w14:paraId="6DBBCCE9">
            <w:pPr>
              <w:autoSpaceDE w:val="0"/>
              <w:autoSpaceDN w:val="0"/>
              <w:adjustRightInd w:val="0"/>
              <w:jc w:val="center"/>
              <w:rPr>
                <w:rFonts w:hint="eastAsia" w:ascii="宋体" w:hAnsi="宋体" w:cs="宋体"/>
                <w:kern w:val="0"/>
                <w:szCs w:val="21"/>
                <w:highlight w:val="none"/>
              </w:rPr>
            </w:pPr>
            <w:r>
              <w:rPr>
                <w:rFonts w:hint="eastAsia" w:ascii="宋体" w:hAnsi="宋体" w:cs="宋体"/>
                <w:szCs w:val="21"/>
                <w:highlight w:val="none"/>
              </w:rPr>
              <w:t>服务期限</w:t>
            </w:r>
          </w:p>
        </w:tc>
        <w:tc>
          <w:tcPr>
            <w:tcW w:w="6784" w:type="dxa"/>
            <w:vAlign w:val="center"/>
          </w:tcPr>
          <w:p w14:paraId="44A9A024">
            <w:pPr>
              <w:spacing w:line="360" w:lineRule="auto"/>
              <w:rPr>
                <w:rFonts w:hint="eastAsia" w:ascii="宋体" w:hAnsi="宋体" w:cs="宋体"/>
                <w:szCs w:val="21"/>
                <w:highlight w:val="none"/>
                <w:lang w:eastAsia="zh-CN"/>
              </w:rPr>
            </w:pPr>
            <w:r>
              <w:rPr>
                <w:rFonts w:hint="eastAsia" w:ascii="宋体" w:hAnsi="宋体" w:cs="宋体"/>
                <w:szCs w:val="21"/>
                <w:highlight w:val="none"/>
                <w:lang w:eastAsia="zh-CN"/>
              </w:rPr>
              <w:t>1 年</w:t>
            </w:r>
          </w:p>
          <w:p w14:paraId="58B0F041">
            <w:pPr>
              <w:spacing w:line="360" w:lineRule="auto"/>
              <w:rPr>
                <w:rFonts w:hint="eastAsia" w:ascii="宋体" w:hAnsi="宋体" w:eastAsia="宋体" w:cs="宋体"/>
                <w:bCs/>
                <w:szCs w:val="21"/>
                <w:highlight w:val="none"/>
                <w:lang w:eastAsia="zh-CN"/>
              </w:rPr>
            </w:pPr>
            <w:r>
              <w:rPr>
                <w:rFonts w:hint="eastAsia" w:ascii="宋体" w:hAnsi="宋体" w:eastAsia="宋体" w:cs="宋体"/>
                <w:color w:val="auto"/>
                <w:sz w:val="21"/>
                <w:szCs w:val="21"/>
                <w:highlight w:val="none"/>
                <w:lang w:bidi="ar"/>
              </w:rPr>
              <w:t>质保期：系统提供不低于1年的免费质保期</w:t>
            </w:r>
            <w:r>
              <w:rPr>
                <w:rFonts w:hint="eastAsia" w:ascii="宋体" w:hAnsi="宋体" w:eastAsia="宋体" w:cs="宋体"/>
                <w:color w:val="auto"/>
                <w:sz w:val="21"/>
                <w:szCs w:val="21"/>
                <w:highlight w:val="none"/>
                <w:lang w:eastAsia="zh-CN" w:bidi="ar"/>
              </w:rPr>
              <w:t>。</w:t>
            </w:r>
          </w:p>
        </w:tc>
      </w:tr>
      <w:tr w14:paraId="79A54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23DBDC28">
            <w:pPr>
              <w:autoSpaceDE w:val="0"/>
              <w:autoSpaceDN w:val="0"/>
              <w:adjustRightInd w:val="0"/>
              <w:jc w:val="center"/>
              <w:rPr>
                <w:rFonts w:hint="eastAsia" w:ascii="宋体" w:hAnsi="宋体" w:cs="宋体"/>
                <w:kern w:val="0"/>
                <w:szCs w:val="21"/>
                <w:highlight w:val="none"/>
              </w:rPr>
            </w:pPr>
            <w:r>
              <w:rPr>
                <w:rFonts w:hint="eastAsia" w:ascii="宋体" w:hAnsi="宋体" w:cs="宋体"/>
                <w:kern w:val="0"/>
                <w:szCs w:val="21"/>
                <w:highlight w:val="none"/>
              </w:rPr>
              <w:t>3.6</w:t>
            </w:r>
          </w:p>
        </w:tc>
        <w:tc>
          <w:tcPr>
            <w:tcW w:w="1744" w:type="dxa"/>
            <w:vAlign w:val="center"/>
          </w:tcPr>
          <w:p w14:paraId="4499A5A6">
            <w:pPr>
              <w:autoSpaceDE w:val="0"/>
              <w:autoSpaceDN w:val="0"/>
              <w:adjustRightInd w:val="0"/>
              <w:jc w:val="center"/>
              <w:rPr>
                <w:rFonts w:hint="eastAsia" w:ascii="宋体" w:hAnsi="宋体" w:cs="宋体"/>
                <w:szCs w:val="21"/>
                <w:highlight w:val="none"/>
              </w:rPr>
            </w:pPr>
            <w:r>
              <w:rPr>
                <w:rFonts w:hint="eastAsia" w:ascii="宋体" w:hAnsi="宋体" w:cs="宋体"/>
                <w:szCs w:val="21"/>
                <w:highlight w:val="none"/>
              </w:rPr>
              <w:t>服务地点</w:t>
            </w:r>
          </w:p>
        </w:tc>
        <w:tc>
          <w:tcPr>
            <w:tcW w:w="6784" w:type="dxa"/>
            <w:vAlign w:val="center"/>
          </w:tcPr>
          <w:p w14:paraId="5574B735">
            <w:pPr>
              <w:spacing w:line="360" w:lineRule="auto"/>
              <w:rPr>
                <w:rFonts w:hint="eastAsia" w:ascii="宋体" w:hAnsi="宋体" w:eastAsia="宋体" w:cs="宋体"/>
                <w:bCs/>
                <w:szCs w:val="21"/>
                <w:highlight w:val="none"/>
                <w:lang w:eastAsia="zh-CN"/>
              </w:rPr>
            </w:pPr>
            <w:r>
              <w:rPr>
                <w:rFonts w:hint="eastAsia"/>
                <w:highlight w:val="none"/>
                <w:lang w:eastAsia="zh-CN"/>
              </w:rPr>
              <w:t>采购人指定地点</w:t>
            </w:r>
          </w:p>
        </w:tc>
      </w:tr>
      <w:tr w14:paraId="45107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54ACD652">
            <w:pPr>
              <w:autoSpaceDE w:val="0"/>
              <w:autoSpaceDN w:val="0"/>
              <w:adjustRightInd w:val="0"/>
              <w:jc w:val="center"/>
              <w:rPr>
                <w:rFonts w:hint="eastAsia" w:ascii="宋体" w:hAnsi="宋体" w:cs="宋体"/>
                <w:kern w:val="0"/>
                <w:szCs w:val="21"/>
                <w:highlight w:val="none"/>
              </w:rPr>
            </w:pPr>
            <w:r>
              <w:rPr>
                <w:rFonts w:hint="eastAsia" w:ascii="宋体" w:hAnsi="宋体" w:cs="宋体"/>
                <w:kern w:val="0"/>
                <w:szCs w:val="21"/>
                <w:highlight w:val="none"/>
              </w:rPr>
              <w:t>3.7</w:t>
            </w:r>
          </w:p>
        </w:tc>
        <w:tc>
          <w:tcPr>
            <w:tcW w:w="1744" w:type="dxa"/>
            <w:vAlign w:val="center"/>
          </w:tcPr>
          <w:p w14:paraId="05A6EC1F">
            <w:pPr>
              <w:autoSpaceDE w:val="0"/>
              <w:autoSpaceDN w:val="0"/>
              <w:adjustRightInd w:val="0"/>
              <w:jc w:val="center"/>
              <w:rPr>
                <w:rFonts w:hint="eastAsia" w:ascii="宋体" w:hAnsi="宋体" w:cs="宋体"/>
                <w:kern w:val="0"/>
                <w:szCs w:val="21"/>
                <w:highlight w:val="none"/>
              </w:rPr>
            </w:pPr>
            <w:r>
              <w:rPr>
                <w:rFonts w:hint="eastAsia" w:ascii="宋体" w:hAnsi="宋体" w:cs="宋体"/>
                <w:szCs w:val="21"/>
                <w:highlight w:val="none"/>
              </w:rPr>
              <w:t>资金落实情况</w:t>
            </w:r>
          </w:p>
        </w:tc>
        <w:tc>
          <w:tcPr>
            <w:tcW w:w="6784" w:type="dxa"/>
            <w:vAlign w:val="center"/>
          </w:tcPr>
          <w:p w14:paraId="6FBD1D0D">
            <w:pPr>
              <w:spacing w:line="360" w:lineRule="auto"/>
              <w:rPr>
                <w:rFonts w:hint="eastAsia" w:ascii="宋体" w:hAnsi="宋体" w:cs="宋体"/>
                <w:bCs/>
                <w:szCs w:val="21"/>
                <w:highlight w:val="none"/>
              </w:rPr>
            </w:pPr>
            <w:r>
              <w:rPr>
                <w:rFonts w:hint="eastAsia" w:ascii="宋体" w:hAnsi="宋体" w:cs="宋体"/>
                <w:bCs/>
                <w:szCs w:val="21"/>
                <w:highlight w:val="none"/>
              </w:rPr>
              <w:t>已落实</w:t>
            </w:r>
          </w:p>
        </w:tc>
      </w:tr>
      <w:tr w14:paraId="2EB8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24244835">
            <w:pPr>
              <w:autoSpaceDE w:val="0"/>
              <w:autoSpaceDN w:val="0"/>
              <w:adjustRightInd w:val="0"/>
              <w:jc w:val="center"/>
              <w:rPr>
                <w:rFonts w:hint="eastAsia" w:ascii="宋体" w:hAnsi="宋体" w:cs="宋体"/>
                <w:kern w:val="0"/>
                <w:szCs w:val="21"/>
                <w:highlight w:val="none"/>
              </w:rPr>
            </w:pPr>
            <w:r>
              <w:rPr>
                <w:rFonts w:hint="eastAsia" w:ascii="宋体" w:hAnsi="宋体" w:cs="宋体"/>
                <w:kern w:val="0"/>
                <w:szCs w:val="21"/>
                <w:highlight w:val="none"/>
              </w:rPr>
              <w:t>4.1</w:t>
            </w:r>
          </w:p>
        </w:tc>
        <w:tc>
          <w:tcPr>
            <w:tcW w:w="1744" w:type="dxa"/>
            <w:vAlign w:val="center"/>
          </w:tcPr>
          <w:p w14:paraId="1EF2F1AC">
            <w:pPr>
              <w:autoSpaceDE w:val="0"/>
              <w:autoSpaceDN w:val="0"/>
              <w:adjustRightInd w:val="0"/>
              <w:jc w:val="center"/>
              <w:rPr>
                <w:rFonts w:hint="eastAsia" w:ascii="宋体" w:hAnsi="宋体" w:cs="宋体"/>
                <w:kern w:val="0"/>
                <w:szCs w:val="21"/>
                <w:highlight w:val="none"/>
              </w:rPr>
            </w:pPr>
            <w:r>
              <w:rPr>
                <w:rFonts w:hint="eastAsia" w:ascii="宋体" w:hAnsi="宋体" w:cs="宋体"/>
                <w:kern w:val="0"/>
                <w:szCs w:val="21"/>
                <w:highlight w:val="none"/>
              </w:rPr>
              <w:t>供应商资格条件</w:t>
            </w:r>
          </w:p>
        </w:tc>
        <w:tc>
          <w:tcPr>
            <w:tcW w:w="6784" w:type="dxa"/>
            <w:vAlign w:val="center"/>
          </w:tcPr>
          <w:p w14:paraId="7F548399">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val="en-US" w:eastAsia="zh-CN" w:bidi="ar"/>
              </w:rPr>
              <w:t>3.1</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为具有独立承担民事责任能力的法人或其他组织，须出具合法有效的企业法人营业执照、或事业单位法人证书、或登记证、或组织机构代码证等相关证明，提供相关证明的扫描件/复印件；</w:t>
            </w:r>
          </w:p>
          <w:p w14:paraId="6A256B48">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val="en-US" w:eastAsia="zh-CN" w:bidi="ar"/>
              </w:rPr>
              <w:t>3.2</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须能够提供增值税专用发票(提供承诺书)；</w:t>
            </w:r>
          </w:p>
          <w:p w14:paraId="697573D7">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val="en-US" w:eastAsia="zh-CN" w:bidi="ar"/>
              </w:rPr>
              <w:t>3.3</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须提供2023年1月1日以来签订的</w:t>
            </w:r>
            <w:r>
              <w:rPr>
                <w:rFonts w:hint="eastAsia" w:ascii="宋体" w:hAnsi="宋体" w:eastAsia="宋体" w:cs="宋体"/>
                <w:color w:val="auto"/>
                <w:sz w:val="21"/>
                <w:szCs w:val="21"/>
                <w:highlight w:val="none"/>
                <w:lang w:eastAsia="zh-CN" w:bidi="ar"/>
              </w:rPr>
              <w:t>软件开发项目</w:t>
            </w:r>
            <w:r>
              <w:rPr>
                <w:rFonts w:hint="eastAsia" w:ascii="宋体" w:hAnsi="宋体" w:eastAsia="宋体" w:cs="宋体"/>
                <w:color w:val="auto"/>
                <w:sz w:val="21"/>
                <w:szCs w:val="21"/>
                <w:highlight w:val="none"/>
                <w:lang w:bidi="ar"/>
              </w:rPr>
              <w:t>案例1个，金额不低于</w:t>
            </w:r>
            <w:r>
              <w:rPr>
                <w:rFonts w:hint="eastAsia" w:ascii="宋体" w:hAnsi="宋体" w:eastAsia="宋体" w:cs="宋体"/>
                <w:color w:val="auto"/>
                <w:sz w:val="21"/>
                <w:szCs w:val="21"/>
                <w:highlight w:val="none"/>
                <w:lang w:val="en-US" w:eastAsia="zh-CN" w:bidi="ar"/>
              </w:rPr>
              <w:t>20万</w:t>
            </w:r>
            <w:r>
              <w:rPr>
                <w:rFonts w:hint="eastAsia" w:ascii="宋体" w:hAnsi="宋体" w:eastAsia="宋体" w:cs="宋体"/>
                <w:color w:val="auto"/>
                <w:sz w:val="21"/>
                <w:szCs w:val="21"/>
                <w:highlight w:val="none"/>
                <w:lang w:bidi="ar"/>
              </w:rPr>
              <w:t>元，提供合同（或框架协议）关键页扫描件/复印件，包括但不限于合同（或框架协议）首页、服务内容页、金额页、签字盖章页等，业绩金额以合同（框架协议业绩金额以2023年1月1日之后订单）对应的结算发票金额为准，提供发票扫描件及发票在网上税务系统（https://inv-veri.chinatax.gov.cn/）查询截图，证明材料须清晰完整；</w:t>
            </w:r>
          </w:p>
          <w:p w14:paraId="433388EB">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val="en-US" w:eastAsia="zh-CN" w:bidi="ar"/>
              </w:rPr>
              <w:t>3.4</w:t>
            </w:r>
            <w:r>
              <w:rPr>
                <w:rFonts w:hint="eastAsia" w:ascii="宋体" w:hAnsi="宋体" w:eastAsia="宋体" w:cs="宋体"/>
                <w:color w:val="auto"/>
                <w:sz w:val="21"/>
                <w:szCs w:val="21"/>
                <w:highlight w:val="none"/>
                <w:lang w:bidi="ar"/>
              </w:rPr>
              <w:t>本项目不允许联合体应答，中选后不得转包；</w:t>
            </w:r>
          </w:p>
          <w:p w14:paraId="79C8183A">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val="en-US" w:eastAsia="zh-CN" w:bidi="ar"/>
              </w:rPr>
              <w:t>3.5</w:t>
            </w:r>
            <w:r>
              <w:rPr>
                <w:rFonts w:hint="eastAsia" w:ascii="宋体" w:hAnsi="宋体" w:eastAsia="宋体" w:cs="宋体"/>
                <w:color w:val="auto"/>
                <w:sz w:val="21"/>
                <w:szCs w:val="21"/>
                <w:highlight w:val="none"/>
                <w:lang w:bidi="ar"/>
              </w:rPr>
              <w:t>对在“国家企业信用信息公示系统”中被列入“经营异常名录”、“严重违法失信名单”的</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，对在“信用中国”网站(www.creditchina.gov.cn)中被列入“失信被执行人”、“重大税收违法失信主体”、“政府采购严重违法失信行为记录名单”的</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，拒绝其参与本项目应答活动；</w:t>
            </w:r>
          </w:p>
          <w:p w14:paraId="2302A937">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val="en-US" w:eastAsia="zh-CN" w:bidi="ar"/>
              </w:rPr>
              <w:t>3.6</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不得存在下列情形之一：</w:t>
            </w:r>
          </w:p>
          <w:p w14:paraId="7B7E0199">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1.</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被责令停业或破产状态的；</w:t>
            </w:r>
          </w:p>
          <w:p w14:paraId="1812B96D">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2.</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被暂停或取消投标资格的；</w:t>
            </w:r>
          </w:p>
          <w:p w14:paraId="662A6D2B">
            <w:pPr>
              <w:pStyle w:val="51"/>
              <w:spacing w:line="360" w:lineRule="auto"/>
              <w:ind w:left="420" w:leftChars="200" w:firstLine="0" w:firstLineChars="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3.</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财产被接管、查封、扣押或冻结的；</w:t>
            </w:r>
          </w:p>
          <w:p w14:paraId="5C98876F">
            <w:pPr>
              <w:pStyle w:val="51"/>
              <w:spacing w:line="360" w:lineRule="auto"/>
              <w:ind w:left="420" w:leftChars="200" w:firstLine="0" w:firstLineChars="0"/>
              <w:rPr>
                <w:highlight w:val="none"/>
              </w:rPr>
            </w:pPr>
            <w:r>
              <w:rPr>
                <w:rFonts w:hint="eastAsia" w:ascii="宋体" w:hAnsi="宋体" w:eastAsia="宋体" w:cs="宋体"/>
                <w:color w:val="auto"/>
                <w:sz w:val="21"/>
                <w:szCs w:val="21"/>
                <w:highlight w:val="none"/>
                <w:lang w:bidi="ar"/>
              </w:rPr>
              <w:t>4.</w:t>
            </w:r>
            <w:r>
              <w:rPr>
                <w:rFonts w:hint="eastAsia" w:ascii="宋体" w:hAnsi="宋体" w:eastAsia="宋体" w:cs="宋体"/>
                <w:color w:val="auto"/>
                <w:sz w:val="21"/>
                <w:szCs w:val="21"/>
                <w:highlight w:val="none"/>
                <w:lang w:eastAsia="zh-CN" w:bidi="ar"/>
              </w:rPr>
              <w:t>供应商</w:t>
            </w:r>
            <w:r>
              <w:rPr>
                <w:rFonts w:hint="eastAsia" w:ascii="宋体" w:hAnsi="宋体" w:eastAsia="宋体" w:cs="宋体"/>
                <w:color w:val="auto"/>
                <w:sz w:val="21"/>
                <w:szCs w:val="21"/>
                <w:highlight w:val="none"/>
                <w:lang w:bidi="ar"/>
              </w:rPr>
              <w:t>近三年（2023年1月1日至本项目评审之日），在河南</w:t>
            </w:r>
            <w:r>
              <w:rPr>
                <w:rFonts w:hint="eastAsia" w:ascii="宋体" w:hAnsi="宋体" w:eastAsia="宋体" w:cs="宋体"/>
                <w:color w:val="auto"/>
                <w:sz w:val="21"/>
                <w:szCs w:val="21"/>
                <w:highlight w:val="none"/>
                <w:lang w:val="en-US" w:eastAsia="zh-CN" w:bidi="ar"/>
              </w:rPr>
              <w:t>产互联</w:t>
            </w:r>
            <w:r>
              <w:rPr>
                <w:rFonts w:hint="eastAsia" w:ascii="宋体" w:hAnsi="宋体" w:eastAsia="宋体" w:cs="宋体"/>
                <w:color w:val="auto"/>
                <w:sz w:val="21"/>
                <w:szCs w:val="21"/>
                <w:highlight w:val="none"/>
                <w:lang w:bidi="ar"/>
              </w:rPr>
              <w:t>组织的采购活动中，被认定存在串标、围标、骗标等行为的。</w:t>
            </w:r>
          </w:p>
        </w:tc>
      </w:tr>
      <w:tr w14:paraId="03B25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7E64D85B">
            <w:pPr>
              <w:pStyle w:val="5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13.5</w:t>
            </w:r>
          </w:p>
        </w:tc>
        <w:tc>
          <w:tcPr>
            <w:tcW w:w="1744" w:type="dxa"/>
            <w:vAlign w:val="center"/>
          </w:tcPr>
          <w:p w14:paraId="7DCD1A5C">
            <w:pPr>
              <w:pStyle w:val="5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响应文件份数</w:t>
            </w:r>
          </w:p>
        </w:tc>
        <w:tc>
          <w:tcPr>
            <w:tcW w:w="6784" w:type="dxa"/>
            <w:vAlign w:val="center"/>
          </w:tcPr>
          <w:p w14:paraId="40792CA4">
            <w:pPr>
              <w:spacing w:line="360" w:lineRule="auto"/>
              <w:rPr>
                <w:rFonts w:hint="eastAsia" w:ascii="宋体" w:hAnsi="宋体" w:cs="宋体"/>
                <w:kern w:val="0"/>
                <w:szCs w:val="21"/>
                <w:highlight w:val="none"/>
              </w:rPr>
            </w:pPr>
            <w:r>
              <w:rPr>
                <w:rFonts w:hint="eastAsia" w:ascii="宋体" w:hAnsi="宋体" w:cs="宋体"/>
                <w:kern w:val="0"/>
                <w:szCs w:val="21"/>
                <w:highlight w:val="none"/>
              </w:rPr>
              <w:t>正本1份，副本2 份，电子版U盘1份</w:t>
            </w:r>
            <w:r>
              <w:rPr>
                <w:rFonts w:hint="eastAsia" w:ascii="宋体" w:hAnsi="宋体" w:cs="仿宋_GB2312"/>
                <w:kern w:val="0"/>
                <w:szCs w:val="21"/>
                <w:highlight w:val="none"/>
              </w:rPr>
              <w:t>（响应文件电子版同时提供未盖章的Word版本及盖章后的扫描件）</w:t>
            </w:r>
          </w:p>
        </w:tc>
      </w:tr>
      <w:tr w14:paraId="32E11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6B69A33C">
            <w:pPr>
              <w:pStyle w:val="51"/>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w:t>
            </w:r>
          </w:p>
        </w:tc>
        <w:tc>
          <w:tcPr>
            <w:tcW w:w="1744" w:type="dxa"/>
            <w:vAlign w:val="center"/>
          </w:tcPr>
          <w:p w14:paraId="4EA82710">
            <w:pPr>
              <w:pStyle w:val="51"/>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响应文件有效期</w:t>
            </w:r>
          </w:p>
        </w:tc>
        <w:tc>
          <w:tcPr>
            <w:tcW w:w="6784" w:type="dxa"/>
            <w:vAlign w:val="center"/>
          </w:tcPr>
          <w:p w14:paraId="23EF6ACE">
            <w:pPr>
              <w:spacing w:line="360" w:lineRule="auto"/>
              <w:rPr>
                <w:rFonts w:hint="eastAsia" w:ascii="宋体" w:hAnsi="宋体" w:cs="宋体"/>
                <w:kern w:val="0"/>
                <w:szCs w:val="21"/>
                <w:highlight w:val="none"/>
              </w:rPr>
            </w:pPr>
            <w:r>
              <w:rPr>
                <w:rFonts w:hint="eastAsia" w:ascii="宋体" w:hAnsi="宋体" w:cs="宋体"/>
                <w:szCs w:val="21"/>
                <w:highlight w:val="none"/>
              </w:rPr>
              <w:t>自响应文件递交截止之日起60日历天。</w:t>
            </w:r>
          </w:p>
        </w:tc>
      </w:tr>
      <w:tr w14:paraId="2980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00B268C8">
            <w:pPr>
              <w:pStyle w:val="51"/>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18.1</w:t>
            </w:r>
          </w:p>
        </w:tc>
        <w:tc>
          <w:tcPr>
            <w:tcW w:w="1744" w:type="dxa"/>
            <w:vAlign w:val="center"/>
          </w:tcPr>
          <w:p w14:paraId="576A6944">
            <w:pPr>
              <w:pStyle w:val="51"/>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递交响应文件截止时间和地点</w:t>
            </w:r>
          </w:p>
        </w:tc>
        <w:tc>
          <w:tcPr>
            <w:tcW w:w="6784" w:type="dxa"/>
            <w:vAlign w:val="center"/>
          </w:tcPr>
          <w:p w14:paraId="285540C7">
            <w:pPr>
              <w:spacing w:line="360" w:lineRule="auto"/>
              <w:rPr>
                <w:rFonts w:hint="eastAsia" w:ascii="宋体" w:hAnsi="宋体" w:cs="宋体"/>
                <w:kern w:val="0"/>
                <w:szCs w:val="21"/>
                <w:highlight w:val="none"/>
              </w:rPr>
            </w:pPr>
            <w:r>
              <w:rPr>
                <w:rFonts w:hint="eastAsia" w:ascii="宋体" w:hAnsi="宋体" w:cs="宋体"/>
                <w:kern w:val="0"/>
                <w:szCs w:val="21"/>
                <w:highlight w:val="none"/>
              </w:rPr>
              <w:t>时间：</w:t>
            </w:r>
            <w:r>
              <w:rPr>
                <w:rFonts w:hint="eastAsia" w:ascii="宋体" w:hAnsi="宋体" w:cs="宋体"/>
                <w:szCs w:val="21"/>
                <w:highlight w:val="none"/>
              </w:rPr>
              <w:t>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u w:val="single"/>
                <w:lang w:val="en-US" w:eastAsia="zh-CN"/>
              </w:rPr>
              <w:t>8</w:t>
            </w:r>
            <w:r>
              <w:rPr>
                <w:rFonts w:hint="eastAsia" w:ascii="宋体" w:hAnsi="宋体" w:cs="宋体"/>
                <w:szCs w:val="21"/>
                <w:highlight w:val="none"/>
                <w:u w:val="single"/>
              </w:rPr>
              <w:t xml:space="preserve"> </w:t>
            </w:r>
            <w:r>
              <w:rPr>
                <w:rFonts w:hint="eastAsia" w:ascii="宋体" w:hAnsi="宋体" w:cs="宋体"/>
                <w:szCs w:val="21"/>
                <w:highlight w:val="none"/>
              </w:rPr>
              <w:t>月</w:t>
            </w:r>
            <w:bookmarkStart w:id="15" w:name="OLE_LINK10"/>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5</w:t>
            </w:r>
            <w:r>
              <w:rPr>
                <w:rFonts w:hint="eastAsia" w:ascii="宋体" w:hAnsi="宋体" w:cs="宋体"/>
                <w:szCs w:val="21"/>
                <w:highlight w:val="none"/>
                <w:u w:val="single"/>
              </w:rPr>
              <w:t xml:space="preserve"> </w:t>
            </w:r>
            <w:bookmarkEnd w:id="15"/>
            <w:r>
              <w:rPr>
                <w:rFonts w:hint="eastAsia" w:ascii="宋体" w:hAnsi="宋体" w:cs="宋体"/>
                <w:szCs w:val="21"/>
                <w:highlight w:val="none"/>
              </w:rPr>
              <w:t>日</w:t>
            </w:r>
            <w:r>
              <w:rPr>
                <w:rFonts w:hint="eastAsia" w:ascii="宋体" w:hAnsi="宋体" w:cs="宋体"/>
                <w:szCs w:val="21"/>
                <w:highlight w:val="none"/>
              </w:rPr>
              <w:t>北京时间1</w:t>
            </w:r>
            <w:r>
              <w:rPr>
                <w:rFonts w:hint="eastAsia" w:ascii="宋体" w:hAnsi="宋体" w:cs="宋体"/>
                <w:szCs w:val="21"/>
                <w:highlight w:val="none"/>
                <w:lang w:val="en-US" w:eastAsia="zh-CN"/>
              </w:rPr>
              <w:t>0</w:t>
            </w:r>
            <w:r>
              <w:rPr>
                <w:rFonts w:hint="eastAsia" w:ascii="宋体" w:hAnsi="宋体" w:cs="宋体"/>
                <w:szCs w:val="21"/>
                <w:highlight w:val="none"/>
              </w:rPr>
              <w:t>:</w:t>
            </w:r>
            <w:r>
              <w:rPr>
                <w:rFonts w:hint="eastAsia" w:ascii="宋体" w:hAnsi="宋体" w:cs="宋体"/>
                <w:szCs w:val="21"/>
                <w:highlight w:val="none"/>
                <w:lang w:val="en-US" w:eastAsia="zh-CN"/>
              </w:rPr>
              <w:t>0</w:t>
            </w:r>
            <w:r>
              <w:rPr>
                <w:rFonts w:hint="eastAsia" w:ascii="宋体" w:hAnsi="宋体" w:cs="宋体"/>
                <w:szCs w:val="21"/>
                <w:highlight w:val="none"/>
              </w:rPr>
              <w:t>0时</w:t>
            </w:r>
          </w:p>
          <w:p w14:paraId="69A2E6E3">
            <w:pPr>
              <w:spacing w:line="360" w:lineRule="auto"/>
              <w:rPr>
                <w:rFonts w:hint="eastAsia" w:ascii="宋体" w:hAnsi="宋体" w:cs="宋体"/>
                <w:kern w:val="0"/>
                <w:szCs w:val="21"/>
                <w:highlight w:val="none"/>
              </w:rPr>
            </w:pPr>
            <w:r>
              <w:rPr>
                <w:rFonts w:hint="eastAsia" w:ascii="宋体" w:hAnsi="宋体" w:cs="宋体"/>
                <w:bCs/>
                <w:szCs w:val="21"/>
                <w:highlight w:val="none"/>
              </w:rPr>
              <w:t>地点：河南省郑州市黄河南路与商都路交叉口西南角财信大厦14楼第二会议室</w:t>
            </w:r>
            <w:r>
              <w:rPr>
                <w:rFonts w:hint="eastAsia" w:ascii="宋体" w:hAnsi="宋体" w:cs="宋体"/>
                <w:szCs w:val="21"/>
                <w:highlight w:val="none"/>
              </w:rPr>
              <w:t>；</w:t>
            </w:r>
          </w:p>
        </w:tc>
      </w:tr>
      <w:tr w14:paraId="7A980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3F321939">
            <w:pPr>
              <w:pStyle w:val="51"/>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w:t>
            </w:r>
          </w:p>
        </w:tc>
        <w:tc>
          <w:tcPr>
            <w:tcW w:w="1744" w:type="dxa"/>
            <w:vAlign w:val="center"/>
          </w:tcPr>
          <w:p w14:paraId="7FFE7A11">
            <w:pPr>
              <w:pStyle w:val="51"/>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开启响应文件时间和地点</w:t>
            </w:r>
          </w:p>
        </w:tc>
        <w:tc>
          <w:tcPr>
            <w:tcW w:w="6784" w:type="dxa"/>
            <w:vAlign w:val="center"/>
          </w:tcPr>
          <w:p w14:paraId="609DE0A0">
            <w:pPr>
              <w:spacing w:line="360" w:lineRule="auto"/>
              <w:rPr>
                <w:rFonts w:hint="eastAsia" w:ascii="宋体" w:hAnsi="宋体" w:cs="宋体"/>
                <w:kern w:val="0"/>
                <w:szCs w:val="21"/>
                <w:highlight w:val="none"/>
              </w:rPr>
            </w:pPr>
            <w:r>
              <w:rPr>
                <w:rFonts w:hint="eastAsia" w:ascii="宋体" w:hAnsi="宋体" w:cs="宋体"/>
                <w:kern w:val="0"/>
                <w:szCs w:val="21"/>
                <w:highlight w:val="none"/>
              </w:rPr>
              <w:t>开启响应文件时间：同递交响应文件截止时间</w:t>
            </w:r>
          </w:p>
          <w:p w14:paraId="23BF3D1B">
            <w:pPr>
              <w:spacing w:line="360" w:lineRule="auto"/>
              <w:rPr>
                <w:rFonts w:hint="eastAsia" w:ascii="宋体" w:hAnsi="宋体" w:cs="宋体"/>
                <w:kern w:val="0"/>
                <w:szCs w:val="21"/>
                <w:highlight w:val="none"/>
              </w:rPr>
            </w:pPr>
            <w:r>
              <w:rPr>
                <w:rFonts w:hint="eastAsia" w:ascii="宋体" w:hAnsi="宋体" w:cs="宋体"/>
                <w:kern w:val="0"/>
                <w:szCs w:val="21"/>
                <w:highlight w:val="none"/>
              </w:rPr>
              <w:t>开启响应文件地点：同递交响应文件地点</w:t>
            </w:r>
          </w:p>
        </w:tc>
      </w:tr>
      <w:tr w14:paraId="576C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36292B78">
            <w:pPr>
              <w:autoSpaceDE w:val="0"/>
              <w:autoSpaceDN w:val="0"/>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23.1</w:t>
            </w:r>
          </w:p>
        </w:tc>
        <w:tc>
          <w:tcPr>
            <w:tcW w:w="1744" w:type="dxa"/>
            <w:vAlign w:val="center"/>
          </w:tcPr>
          <w:p w14:paraId="6475703C">
            <w:pPr>
              <w:autoSpaceDE w:val="0"/>
              <w:autoSpaceDN w:val="0"/>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评审小组的组建</w:t>
            </w:r>
          </w:p>
        </w:tc>
        <w:tc>
          <w:tcPr>
            <w:tcW w:w="6784" w:type="dxa"/>
            <w:vAlign w:val="center"/>
          </w:tcPr>
          <w:p w14:paraId="085F9F3E">
            <w:pPr>
              <w:spacing w:line="360" w:lineRule="auto"/>
              <w:rPr>
                <w:rFonts w:hint="eastAsia" w:ascii="宋体" w:hAnsi="宋体" w:cs="宋体"/>
                <w:kern w:val="0"/>
                <w:szCs w:val="21"/>
                <w:highlight w:val="none"/>
              </w:rPr>
            </w:pPr>
            <w:r>
              <w:rPr>
                <w:rFonts w:hint="eastAsia" w:ascii="宋体" w:hAnsi="宋体" w:cs="仿宋_GB2312"/>
                <w:kern w:val="0"/>
                <w:szCs w:val="21"/>
                <w:highlight w:val="none"/>
              </w:rPr>
              <w:t>评审小组由三人以上单数组成。</w:t>
            </w:r>
          </w:p>
        </w:tc>
      </w:tr>
      <w:tr w14:paraId="6F06A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023AAE6B">
            <w:pPr>
              <w:autoSpaceDE w:val="0"/>
              <w:autoSpaceDN w:val="0"/>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25</w:t>
            </w:r>
          </w:p>
        </w:tc>
        <w:tc>
          <w:tcPr>
            <w:tcW w:w="1744" w:type="dxa"/>
            <w:vAlign w:val="center"/>
          </w:tcPr>
          <w:p w14:paraId="2041E9A8">
            <w:pPr>
              <w:autoSpaceDE w:val="0"/>
              <w:autoSpaceDN w:val="0"/>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评审办法</w:t>
            </w:r>
          </w:p>
        </w:tc>
        <w:tc>
          <w:tcPr>
            <w:tcW w:w="6784" w:type="dxa"/>
            <w:vAlign w:val="center"/>
          </w:tcPr>
          <w:p w14:paraId="1BADA103">
            <w:pPr>
              <w:spacing w:line="360" w:lineRule="auto"/>
              <w:rPr>
                <w:rFonts w:hint="eastAsia" w:ascii="宋体" w:hAnsi="宋体" w:cs="宋体"/>
                <w:kern w:val="0"/>
                <w:szCs w:val="21"/>
                <w:highlight w:val="none"/>
              </w:rPr>
            </w:pPr>
            <w:r>
              <w:rPr>
                <w:rFonts w:hint="eastAsia" w:ascii="宋体" w:hAnsi="宋体" w:cs="宋体"/>
                <w:kern w:val="0"/>
                <w:szCs w:val="21"/>
                <w:highlight w:val="none"/>
              </w:rPr>
              <w:t>综合评分法</w:t>
            </w:r>
          </w:p>
        </w:tc>
      </w:tr>
      <w:tr w14:paraId="572D8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6D05A01D">
            <w:pPr>
              <w:pStyle w:val="5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1744" w:type="dxa"/>
            <w:vAlign w:val="center"/>
          </w:tcPr>
          <w:p w14:paraId="0BDC5E11">
            <w:pPr>
              <w:pStyle w:val="5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最高限价</w:t>
            </w:r>
          </w:p>
        </w:tc>
        <w:tc>
          <w:tcPr>
            <w:tcW w:w="6784" w:type="dxa"/>
            <w:vAlign w:val="center"/>
          </w:tcPr>
          <w:p w14:paraId="20116A73">
            <w:pPr>
              <w:spacing w:line="360" w:lineRule="auto"/>
              <w:rPr>
                <w:rFonts w:hint="eastAsia" w:ascii="宋体" w:hAnsi="宋体" w:cs="仿宋_GB2312"/>
                <w:kern w:val="0"/>
                <w:szCs w:val="21"/>
                <w:highlight w:val="none"/>
              </w:rPr>
            </w:pPr>
            <w:r>
              <w:rPr>
                <w:rFonts w:hint="eastAsia" w:ascii="宋体" w:hAnsi="宋体"/>
                <w:szCs w:val="21"/>
                <w:highlight w:val="none"/>
              </w:rPr>
              <w:t>本项目设最高限价，最高限价为</w:t>
            </w:r>
            <w:r>
              <w:rPr>
                <w:rFonts w:hint="eastAsia" w:ascii="宋体" w:hAnsi="宋体"/>
                <w:szCs w:val="21"/>
                <w:highlight w:val="none"/>
                <w:lang w:val="en-US" w:eastAsia="zh-CN"/>
              </w:rPr>
              <w:t>60万</w:t>
            </w:r>
            <w:r>
              <w:rPr>
                <w:rFonts w:hint="eastAsia" w:ascii="宋体" w:hAnsi="宋体"/>
                <w:szCs w:val="21"/>
                <w:highlight w:val="none"/>
              </w:rPr>
              <w:t>元人民币</w:t>
            </w:r>
            <w:r>
              <w:rPr>
                <w:rFonts w:hint="eastAsia" w:ascii="宋体" w:hAnsi="宋体"/>
                <w:szCs w:val="21"/>
                <w:highlight w:val="none"/>
                <w:lang w:eastAsia="zh-CN"/>
              </w:rPr>
              <w:t>（</w:t>
            </w:r>
            <w:r>
              <w:rPr>
                <w:rFonts w:hint="eastAsia" w:ascii="宋体" w:hAnsi="宋体"/>
                <w:szCs w:val="21"/>
                <w:highlight w:val="none"/>
                <w:lang w:val="en-US" w:eastAsia="zh-CN"/>
              </w:rPr>
              <w:t>含税）</w:t>
            </w:r>
            <w:r>
              <w:rPr>
                <w:rFonts w:hint="eastAsia" w:ascii="宋体" w:hAnsi="宋体"/>
                <w:szCs w:val="21"/>
                <w:highlight w:val="none"/>
              </w:rPr>
              <w:t>，响应报价超出最高限价者均作废标处理。</w:t>
            </w:r>
          </w:p>
        </w:tc>
      </w:tr>
      <w:tr w14:paraId="6C306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07BD2100">
            <w:pPr>
              <w:autoSpaceDE w:val="0"/>
              <w:autoSpaceDN w:val="0"/>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27.2</w:t>
            </w:r>
          </w:p>
        </w:tc>
        <w:tc>
          <w:tcPr>
            <w:tcW w:w="1744" w:type="dxa"/>
            <w:vAlign w:val="center"/>
          </w:tcPr>
          <w:p w14:paraId="7DA7BCD6">
            <w:pPr>
              <w:autoSpaceDE w:val="0"/>
              <w:autoSpaceDN w:val="0"/>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是否授权评审小组确定成交供应商</w:t>
            </w:r>
          </w:p>
        </w:tc>
        <w:tc>
          <w:tcPr>
            <w:tcW w:w="6784" w:type="dxa"/>
            <w:vAlign w:val="center"/>
          </w:tcPr>
          <w:p w14:paraId="270454A8">
            <w:pPr>
              <w:spacing w:line="360" w:lineRule="auto"/>
              <w:rPr>
                <w:rFonts w:hint="eastAsia" w:ascii="宋体" w:hAnsi="宋体" w:cs="宋体"/>
                <w:kern w:val="0"/>
                <w:szCs w:val="21"/>
                <w:highlight w:val="none"/>
              </w:rPr>
            </w:pPr>
            <w:r>
              <w:rPr>
                <w:rFonts w:hint="eastAsia" w:ascii="宋体" w:hAnsi="宋体" w:cs="宋体"/>
                <w:kern w:val="0"/>
                <w:szCs w:val="21"/>
                <w:highlight w:val="none"/>
              </w:rPr>
              <w:t>否 ，推荐3名成交候选人。</w:t>
            </w:r>
          </w:p>
        </w:tc>
      </w:tr>
      <w:tr w14:paraId="4F85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19138F50">
            <w:pPr>
              <w:autoSpaceDE w:val="0"/>
              <w:autoSpaceDN w:val="0"/>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29.1</w:t>
            </w:r>
          </w:p>
        </w:tc>
        <w:tc>
          <w:tcPr>
            <w:tcW w:w="1744" w:type="dxa"/>
            <w:vAlign w:val="center"/>
          </w:tcPr>
          <w:p w14:paraId="1E6DB23A">
            <w:pPr>
              <w:autoSpaceDE w:val="0"/>
              <w:autoSpaceDN w:val="0"/>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履约担保</w:t>
            </w:r>
          </w:p>
        </w:tc>
        <w:tc>
          <w:tcPr>
            <w:tcW w:w="6784" w:type="dxa"/>
            <w:vAlign w:val="center"/>
          </w:tcPr>
          <w:p w14:paraId="715B1D74">
            <w:pPr>
              <w:spacing w:line="360" w:lineRule="auto"/>
              <w:rPr>
                <w:rFonts w:hint="eastAsia" w:ascii="宋体" w:hAnsi="宋体" w:cs="宋体"/>
                <w:kern w:val="0"/>
                <w:szCs w:val="21"/>
                <w:highlight w:val="none"/>
              </w:rPr>
            </w:pPr>
            <w:r>
              <w:rPr>
                <w:rFonts w:hint="eastAsia" w:ascii="宋体" w:hAnsi="宋体" w:cs="宋体"/>
                <w:kern w:val="0"/>
                <w:szCs w:val="21"/>
                <w:highlight w:val="none"/>
              </w:rPr>
              <w:t>本项目不提供。</w:t>
            </w:r>
          </w:p>
        </w:tc>
      </w:tr>
      <w:tr w14:paraId="6749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5F40A51C">
            <w:pPr>
              <w:autoSpaceDE w:val="0"/>
              <w:autoSpaceDN w:val="0"/>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31.2.1</w:t>
            </w:r>
          </w:p>
        </w:tc>
        <w:tc>
          <w:tcPr>
            <w:tcW w:w="1744" w:type="dxa"/>
            <w:vAlign w:val="center"/>
          </w:tcPr>
          <w:p w14:paraId="4E0B1C8E">
            <w:pPr>
              <w:autoSpaceDE w:val="0"/>
              <w:autoSpaceDN w:val="0"/>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代理服务费</w:t>
            </w:r>
          </w:p>
        </w:tc>
        <w:tc>
          <w:tcPr>
            <w:tcW w:w="6784" w:type="dxa"/>
            <w:vAlign w:val="center"/>
          </w:tcPr>
          <w:p w14:paraId="1B535751">
            <w:pPr>
              <w:spacing w:line="360" w:lineRule="auto"/>
              <w:rPr>
                <w:rFonts w:hint="eastAsia" w:ascii="宋体" w:hAnsi="宋体" w:cs="宋体"/>
                <w:kern w:val="0"/>
                <w:szCs w:val="21"/>
                <w:highlight w:val="none"/>
              </w:rPr>
            </w:pPr>
            <w:r>
              <w:rPr>
                <w:rFonts w:hint="eastAsia" w:ascii="宋体" w:hAnsi="宋体" w:cs="宋体"/>
                <w:szCs w:val="21"/>
                <w:highlight w:val="none"/>
                <w:lang w:val="en-US" w:eastAsia="zh-CN"/>
              </w:rPr>
              <w:t>100万元以下按中标金额的1.50%的基础上按照七五折收取服务费</w:t>
            </w:r>
            <w:r>
              <w:rPr>
                <w:rFonts w:hint="eastAsia" w:ascii="宋体" w:hAnsi="宋体" w:cs="宋体"/>
                <w:szCs w:val="21"/>
                <w:highlight w:val="none"/>
                <w:lang w:eastAsia="zh-CN"/>
              </w:rPr>
              <w:t>，</w:t>
            </w:r>
            <w:r>
              <w:rPr>
                <w:rFonts w:hint="eastAsia" w:ascii="宋体" w:hAnsi="宋体" w:cs="宋体"/>
                <w:szCs w:val="21"/>
                <w:highlight w:val="none"/>
              </w:rPr>
              <w:t>且其费用包含在报价中，采购人不再另行支付。</w:t>
            </w:r>
          </w:p>
        </w:tc>
      </w:tr>
      <w:tr w14:paraId="78272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1026" w:type="dxa"/>
            <w:vAlign w:val="center"/>
          </w:tcPr>
          <w:p w14:paraId="0C076A07">
            <w:pPr>
              <w:autoSpaceDE w:val="0"/>
              <w:autoSpaceDN w:val="0"/>
              <w:adjustRightInd w:val="0"/>
              <w:snapToGrid w:val="0"/>
              <w:jc w:val="center"/>
              <w:rPr>
                <w:rFonts w:hint="eastAsia" w:ascii="宋体" w:hAnsi="宋体" w:cs="宋体"/>
                <w:szCs w:val="21"/>
                <w:highlight w:val="none"/>
              </w:rPr>
            </w:pPr>
            <w:r>
              <w:rPr>
                <w:rFonts w:hint="eastAsia" w:ascii="宋体" w:hAnsi="宋体" w:cs="宋体"/>
                <w:kern w:val="0"/>
                <w:szCs w:val="21"/>
                <w:highlight w:val="none"/>
              </w:rPr>
              <w:t>31.2.2</w:t>
            </w:r>
          </w:p>
        </w:tc>
        <w:tc>
          <w:tcPr>
            <w:tcW w:w="1744" w:type="dxa"/>
            <w:vAlign w:val="center"/>
          </w:tcPr>
          <w:p w14:paraId="137B417F">
            <w:pPr>
              <w:autoSpaceDE w:val="0"/>
              <w:autoSpaceDN w:val="0"/>
              <w:adjustRightInd w:val="0"/>
              <w:snapToGrid w:val="0"/>
              <w:jc w:val="center"/>
              <w:rPr>
                <w:rFonts w:hint="eastAsia" w:ascii="宋体" w:hAnsi="宋体" w:cs="宋体"/>
                <w:kern w:val="0"/>
                <w:szCs w:val="21"/>
                <w:highlight w:val="none"/>
              </w:rPr>
            </w:pPr>
            <w:r>
              <w:rPr>
                <w:rFonts w:hint="eastAsia" w:ascii="宋体" w:hAnsi="宋体" w:cs="宋体"/>
                <w:szCs w:val="21"/>
                <w:highlight w:val="none"/>
              </w:rPr>
              <w:t>知识产权</w:t>
            </w:r>
          </w:p>
        </w:tc>
        <w:tc>
          <w:tcPr>
            <w:tcW w:w="6784" w:type="dxa"/>
            <w:vAlign w:val="center"/>
          </w:tcPr>
          <w:p w14:paraId="7A8C6C64">
            <w:pPr>
              <w:spacing w:line="360" w:lineRule="auto"/>
              <w:rPr>
                <w:rFonts w:hint="eastAsia" w:ascii="宋体" w:hAnsi="宋体" w:cs="宋体"/>
                <w:kern w:val="0"/>
                <w:szCs w:val="21"/>
                <w:highlight w:val="none"/>
              </w:rPr>
            </w:pPr>
            <w:r>
              <w:rPr>
                <w:rFonts w:hint="eastAsia" w:ascii="宋体" w:hAnsi="宋体" w:cs="宋体"/>
                <w:kern w:val="0"/>
                <w:szCs w:val="21"/>
                <w:highlight w:val="none"/>
              </w:rPr>
              <w:t>构成本采购文件各个组成部分的文件，未经采购人书面同意，供应商不得擅自复印和用于非本采购项目所需的其他目的。采购人全部或者部分使用未成交人响应文件中的技术成果或技术方案时，需征得其书面同意，并不得擅自复印或提供给第三人。</w:t>
            </w:r>
          </w:p>
        </w:tc>
      </w:tr>
      <w:tr w14:paraId="18675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12323C6E">
            <w:pPr>
              <w:autoSpaceDE w:val="0"/>
              <w:autoSpaceDN w:val="0"/>
              <w:adjustRightInd w:val="0"/>
              <w:snapToGrid w:val="0"/>
              <w:jc w:val="center"/>
              <w:rPr>
                <w:rFonts w:hint="eastAsia" w:ascii="宋体" w:hAnsi="宋体" w:cs="宋体"/>
                <w:szCs w:val="21"/>
                <w:highlight w:val="none"/>
              </w:rPr>
            </w:pPr>
            <w:r>
              <w:rPr>
                <w:rFonts w:hint="eastAsia" w:ascii="宋体" w:hAnsi="宋体" w:cs="宋体"/>
                <w:kern w:val="0"/>
                <w:szCs w:val="21"/>
                <w:highlight w:val="none"/>
              </w:rPr>
              <w:t>31.2.3</w:t>
            </w:r>
          </w:p>
        </w:tc>
        <w:tc>
          <w:tcPr>
            <w:tcW w:w="1744" w:type="dxa"/>
            <w:vAlign w:val="center"/>
          </w:tcPr>
          <w:p w14:paraId="2C451404">
            <w:pPr>
              <w:autoSpaceDE w:val="0"/>
              <w:autoSpaceDN w:val="0"/>
              <w:adjustRightInd w:val="0"/>
              <w:snapToGrid w:val="0"/>
              <w:jc w:val="center"/>
              <w:rPr>
                <w:rFonts w:hint="eastAsia" w:ascii="宋体" w:hAnsi="宋体" w:cs="宋体"/>
                <w:kern w:val="0"/>
                <w:szCs w:val="21"/>
                <w:highlight w:val="none"/>
              </w:rPr>
            </w:pPr>
            <w:r>
              <w:rPr>
                <w:rFonts w:hint="eastAsia" w:ascii="宋体" w:hAnsi="宋体" w:cs="宋体"/>
                <w:szCs w:val="21"/>
                <w:highlight w:val="none"/>
              </w:rPr>
              <w:t>解释权</w:t>
            </w:r>
          </w:p>
        </w:tc>
        <w:tc>
          <w:tcPr>
            <w:tcW w:w="6784" w:type="dxa"/>
            <w:vAlign w:val="center"/>
          </w:tcPr>
          <w:p w14:paraId="711D9EF0">
            <w:pPr>
              <w:spacing w:line="360" w:lineRule="auto"/>
              <w:rPr>
                <w:rFonts w:hint="eastAsia" w:ascii="宋体" w:hAnsi="宋体" w:cs="宋体"/>
                <w:kern w:val="0"/>
                <w:szCs w:val="21"/>
                <w:highlight w:val="none"/>
              </w:rPr>
            </w:pPr>
            <w:r>
              <w:rPr>
                <w:rFonts w:hint="eastAsia" w:ascii="宋体" w:hAnsi="宋体" w:cs="宋体"/>
                <w:kern w:val="0"/>
                <w:szCs w:val="21"/>
                <w:highlight w:val="none"/>
              </w:rPr>
              <w:t>构成本采购文件的各个组成文件应互为解释，互为说明；如有不明确或不一致，构成合同文件组成内容的，以合同文件约定内容为准，且以专用合同条款约定的合同文件优先顺序解释；除采购文件中有特别规定外，仅适用于询比采购阶段的规定，按询比公告、供应商须知、评审办法、采购需求、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1FE6C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6" w:type="dxa"/>
            <w:vAlign w:val="center"/>
          </w:tcPr>
          <w:p w14:paraId="4F0C675F">
            <w:pPr>
              <w:autoSpaceDE w:val="0"/>
              <w:autoSpaceDN w:val="0"/>
              <w:adjustRightInd w:val="0"/>
              <w:snapToGrid w:val="0"/>
              <w:jc w:val="center"/>
              <w:rPr>
                <w:rFonts w:hint="eastAsia" w:ascii="宋体" w:hAnsi="宋体" w:cs="宋体"/>
                <w:szCs w:val="21"/>
                <w:highlight w:val="none"/>
              </w:rPr>
            </w:pPr>
            <w:r>
              <w:rPr>
                <w:rFonts w:hint="eastAsia" w:ascii="宋体" w:hAnsi="宋体" w:cs="宋体"/>
                <w:kern w:val="0"/>
                <w:szCs w:val="21"/>
                <w:highlight w:val="none"/>
              </w:rPr>
              <w:t>31.2.4</w:t>
            </w:r>
          </w:p>
        </w:tc>
        <w:tc>
          <w:tcPr>
            <w:tcW w:w="1744" w:type="dxa"/>
            <w:vAlign w:val="center"/>
          </w:tcPr>
          <w:p w14:paraId="29E6760A">
            <w:pPr>
              <w:autoSpaceDE w:val="0"/>
              <w:autoSpaceDN w:val="0"/>
              <w:adjustRightInd w:val="0"/>
              <w:snapToGrid w:val="0"/>
              <w:jc w:val="center"/>
              <w:rPr>
                <w:rFonts w:hint="eastAsia" w:ascii="宋体" w:hAnsi="宋体" w:cs="宋体"/>
                <w:kern w:val="0"/>
                <w:szCs w:val="21"/>
                <w:highlight w:val="none"/>
              </w:rPr>
            </w:pPr>
            <w:r>
              <w:rPr>
                <w:rFonts w:hint="eastAsia" w:ascii="宋体" w:hAnsi="宋体" w:cs="宋体"/>
                <w:szCs w:val="21"/>
                <w:highlight w:val="none"/>
              </w:rPr>
              <w:t>采购人声明</w:t>
            </w:r>
          </w:p>
        </w:tc>
        <w:tc>
          <w:tcPr>
            <w:tcW w:w="6784" w:type="dxa"/>
            <w:vAlign w:val="center"/>
          </w:tcPr>
          <w:p w14:paraId="094B1EE6">
            <w:pPr>
              <w:spacing w:line="360" w:lineRule="auto"/>
              <w:rPr>
                <w:rFonts w:hint="eastAsia" w:ascii="宋体" w:hAnsi="宋体" w:cs="宋体"/>
                <w:kern w:val="0"/>
                <w:szCs w:val="21"/>
                <w:highlight w:val="none"/>
              </w:rPr>
            </w:pPr>
            <w:r>
              <w:rPr>
                <w:rFonts w:hint="eastAsia" w:ascii="宋体" w:hAnsi="宋体" w:cs="宋体"/>
                <w:kern w:val="0"/>
                <w:szCs w:val="21"/>
                <w:highlight w:val="none"/>
              </w:rPr>
              <w:t>供应商因参与采购活动而涉及的人身伤害、财产损害、侵犯他人权益、仲裁或诉讼等，应当责任自负、费用自担，并应保证采购人和代理机构免于承担上述责任或者其他不良影响。</w:t>
            </w:r>
          </w:p>
          <w:p w14:paraId="21ED190D">
            <w:pPr>
              <w:spacing w:line="360" w:lineRule="auto"/>
              <w:rPr>
                <w:rFonts w:hint="eastAsia" w:ascii="宋体" w:hAnsi="宋体" w:cs="宋体"/>
                <w:kern w:val="0"/>
                <w:szCs w:val="21"/>
                <w:highlight w:val="none"/>
              </w:rPr>
            </w:pPr>
            <w:r>
              <w:rPr>
                <w:rFonts w:hint="eastAsia" w:ascii="宋体" w:hAnsi="宋体" w:cs="宋体"/>
                <w:kern w:val="0"/>
                <w:szCs w:val="21"/>
                <w:highlight w:val="none"/>
              </w:rPr>
              <w:t>采购人声明采购文件中附带的参考资料是以诚信的态度提供的，是采购人现有的和客观的信息。</w:t>
            </w:r>
          </w:p>
        </w:tc>
      </w:tr>
    </w:tbl>
    <w:p w14:paraId="72F01674">
      <w:pPr>
        <w:rPr>
          <w:rFonts w:hint="eastAsia" w:ascii="宋体" w:hAnsi="宋体" w:cs="宋体"/>
          <w:highlight w:val="none"/>
        </w:rPr>
      </w:pPr>
    </w:p>
    <w:p w14:paraId="7F9A5673">
      <w:pPr>
        <w:rPr>
          <w:rFonts w:hint="eastAsia" w:ascii="宋体" w:hAnsi="宋体" w:cs="宋体"/>
          <w:b/>
          <w:bCs/>
          <w:sz w:val="36"/>
          <w:szCs w:val="36"/>
          <w:highlight w:val="none"/>
        </w:rPr>
      </w:pPr>
      <w:r>
        <w:rPr>
          <w:rFonts w:hint="eastAsia" w:ascii="宋体" w:hAnsi="宋体" w:cs="宋体"/>
          <w:b/>
          <w:bCs/>
          <w:sz w:val="36"/>
          <w:szCs w:val="36"/>
          <w:highlight w:val="none"/>
        </w:rPr>
        <w:br w:type="page"/>
      </w:r>
    </w:p>
    <w:p w14:paraId="5EF372C9">
      <w:pPr>
        <w:numPr>
          <w:ilvl w:val="0"/>
          <w:numId w:val="2"/>
        </w:numPr>
        <w:jc w:val="center"/>
        <w:outlineLvl w:val="1"/>
        <w:rPr>
          <w:rFonts w:hint="eastAsia" w:ascii="宋体" w:hAnsi="宋体" w:cs="宋体"/>
          <w:b/>
          <w:bCs/>
          <w:sz w:val="24"/>
          <w:szCs w:val="24"/>
          <w:highlight w:val="none"/>
        </w:rPr>
      </w:pPr>
      <w:bookmarkStart w:id="16" w:name="_Toc9751"/>
      <w:bookmarkStart w:id="17" w:name="_Toc17049"/>
      <w:bookmarkStart w:id="18" w:name="_Toc16430"/>
      <w:bookmarkStart w:id="19" w:name="_Toc28346"/>
      <w:r>
        <w:rPr>
          <w:rFonts w:hint="eastAsia" w:ascii="宋体" w:hAnsi="宋体" w:cs="宋体"/>
          <w:b/>
          <w:bCs/>
          <w:sz w:val="24"/>
          <w:szCs w:val="24"/>
          <w:highlight w:val="none"/>
        </w:rPr>
        <w:t>总则</w:t>
      </w:r>
      <w:bookmarkEnd w:id="16"/>
      <w:bookmarkEnd w:id="17"/>
      <w:bookmarkEnd w:id="18"/>
      <w:bookmarkEnd w:id="19"/>
    </w:p>
    <w:p w14:paraId="3C877059">
      <w:pPr>
        <w:pStyle w:val="4"/>
        <w:numPr>
          <w:ilvl w:val="0"/>
          <w:numId w:val="3"/>
        </w:numPr>
        <w:tabs>
          <w:tab w:val="left" w:pos="260"/>
          <w:tab w:val="left" w:pos="410"/>
        </w:tabs>
        <w:rPr>
          <w:rFonts w:hint="eastAsia" w:ascii="宋体" w:hAnsi="宋体" w:cs="宋体"/>
          <w:sz w:val="21"/>
          <w:szCs w:val="21"/>
          <w:highlight w:val="none"/>
        </w:rPr>
      </w:pPr>
      <w:bookmarkStart w:id="20" w:name="_Toc3382"/>
      <w:bookmarkStart w:id="21" w:name="_Toc20586"/>
      <w:bookmarkStart w:id="22" w:name="_Toc20205"/>
      <w:bookmarkStart w:id="23" w:name="_Toc6081"/>
      <w:r>
        <w:rPr>
          <w:rFonts w:hint="eastAsia" w:ascii="宋体" w:hAnsi="宋体" w:cs="宋体"/>
          <w:sz w:val="21"/>
          <w:szCs w:val="21"/>
          <w:highlight w:val="none"/>
        </w:rPr>
        <w:t>适用范围</w:t>
      </w:r>
      <w:bookmarkEnd w:id="20"/>
      <w:bookmarkEnd w:id="21"/>
      <w:bookmarkEnd w:id="22"/>
      <w:bookmarkEnd w:id="23"/>
    </w:p>
    <w:p w14:paraId="32EDCC51">
      <w:pPr>
        <w:spacing w:line="360" w:lineRule="auto"/>
        <w:ind w:firstLine="420"/>
        <w:rPr>
          <w:rFonts w:hint="eastAsia" w:ascii="宋体" w:hAnsi="宋体" w:cs="宋体"/>
          <w:szCs w:val="21"/>
          <w:highlight w:val="none"/>
        </w:rPr>
      </w:pPr>
      <w:r>
        <w:rPr>
          <w:rFonts w:hint="eastAsia" w:ascii="宋体" w:hAnsi="宋体" w:cs="宋体"/>
          <w:szCs w:val="21"/>
          <w:highlight w:val="none"/>
        </w:rPr>
        <w:t>1.1采购本文件仅适用于采购文件中所述项目的工程、货物及服务的采购。</w:t>
      </w:r>
    </w:p>
    <w:p w14:paraId="67C40BED">
      <w:pPr>
        <w:pStyle w:val="4"/>
        <w:numPr>
          <w:ilvl w:val="0"/>
          <w:numId w:val="3"/>
        </w:numPr>
        <w:tabs>
          <w:tab w:val="left" w:pos="260"/>
          <w:tab w:val="left" w:pos="298"/>
          <w:tab w:val="left" w:pos="310"/>
          <w:tab w:val="left" w:pos="410"/>
        </w:tabs>
        <w:rPr>
          <w:rFonts w:hint="eastAsia" w:ascii="宋体" w:hAnsi="宋体" w:cs="宋体"/>
          <w:sz w:val="21"/>
          <w:szCs w:val="21"/>
          <w:highlight w:val="none"/>
        </w:rPr>
      </w:pPr>
      <w:bookmarkStart w:id="24" w:name="_Toc10397"/>
      <w:bookmarkStart w:id="25" w:name="_Toc22174"/>
      <w:bookmarkStart w:id="26" w:name="_Toc517"/>
      <w:bookmarkStart w:id="27" w:name="_Toc26788"/>
      <w:r>
        <w:rPr>
          <w:rFonts w:hint="eastAsia" w:ascii="宋体" w:hAnsi="宋体" w:cs="宋体"/>
          <w:sz w:val="21"/>
          <w:szCs w:val="21"/>
          <w:highlight w:val="none"/>
        </w:rPr>
        <w:t>定义</w:t>
      </w:r>
      <w:bookmarkEnd w:id="24"/>
      <w:bookmarkEnd w:id="25"/>
      <w:bookmarkEnd w:id="26"/>
      <w:bookmarkEnd w:id="27"/>
    </w:p>
    <w:p w14:paraId="670A6E65">
      <w:pPr>
        <w:spacing w:line="360" w:lineRule="auto"/>
        <w:ind w:firstLine="420"/>
        <w:rPr>
          <w:rFonts w:hint="eastAsia" w:ascii="宋体" w:hAnsi="宋体" w:cs="宋体"/>
          <w:szCs w:val="21"/>
          <w:highlight w:val="none"/>
        </w:rPr>
      </w:pPr>
      <w:r>
        <w:rPr>
          <w:rFonts w:hint="eastAsia" w:ascii="宋体" w:hAnsi="宋体" w:cs="宋体"/>
          <w:szCs w:val="21"/>
          <w:highlight w:val="none"/>
        </w:rPr>
        <w:t>2.1“采购人”提出并组织实施采购项目的法人或其他组织。</w:t>
      </w:r>
    </w:p>
    <w:p w14:paraId="1639F6BB">
      <w:pPr>
        <w:spacing w:line="360" w:lineRule="auto"/>
        <w:ind w:firstLine="420"/>
        <w:rPr>
          <w:rFonts w:hint="eastAsia" w:ascii="宋体" w:hAnsi="宋体" w:cs="宋体"/>
          <w:szCs w:val="21"/>
          <w:highlight w:val="none"/>
        </w:rPr>
      </w:pPr>
      <w:r>
        <w:rPr>
          <w:rFonts w:hint="eastAsia" w:ascii="宋体" w:hAnsi="宋体" w:cs="宋体"/>
          <w:szCs w:val="21"/>
          <w:highlight w:val="none"/>
        </w:rPr>
        <w:t>2.2“采购代理机构”系依法设立并提供采购代理服务的社会中介组织。</w:t>
      </w:r>
    </w:p>
    <w:p w14:paraId="48BB15D6">
      <w:pPr>
        <w:spacing w:line="360" w:lineRule="auto"/>
        <w:ind w:firstLine="420"/>
        <w:rPr>
          <w:rFonts w:hint="eastAsia" w:ascii="宋体" w:hAnsi="宋体" w:cs="宋体"/>
          <w:szCs w:val="21"/>
          <w:highlight w:val="none"/>
        </w:rPr>
      </w:pPr>
      <w:r>
        <w:rPr>
          <w:rFonts w:hint="eastAsia" w:ascii="宋体" w:hAnsi="宋体" w:cs="宋体"/>
          <w:szCs w:val="21"/>
          <w:highlight w:val="none"/>
        </w:rPr>
        <w:t>2.3“供应商”参加采购活动，有意向为采购人提供工程、货物或服务的法人、其他组织或自然人。</w:t>
      </w:r>
    </w:p>
    <w:p w14:paraId="4C418B88">
      <w:pPr>
        <w:spacing w:line="360" w:lineRule="auto"/>
        <w:ind w:firstLine="420"/>
        <w:rPr>
          <w:rFonts w:hint="eastAsia" w:ascii="宋体" w:hAnsi="宋体" w:cs="宋体"/>
          <w:szCs w:val="21"/>
          <w:highlight w:val="none"/>
        </w:rPr>
      </w:pPr>
      <w:r>
        <w:rPr>
          <w:rFonts w:hint="eastAsia" w:ascii="宋体" w:hAnsi="宋体" w:cs="宋体"/>
          <w:szCs w:val="21"/>
          <w:highlight w:val="none"/>
        </w:rPr>
        <w:t>2.4“采购文件”采购人或采购代理机构向供应商发出的采购文件。</w:t>
      </w:r>
    </w:p>
    <w:p w14:paraId="0992C39D">
      <w:pPr>
        <w:spacing w:line="360" w:lineRule="auto"/>
        <w:ind w:firstLine="420"/>
        <w:rPr>
          <w:rFonts w:hint="eastAsia" w:ascii="宋体" w:hAnsi="宋体" w:cs="宋体"/>
          <w:szCs w:val="21"/>
          <w:highlight w:val="none"/>
        </w:rPr>
      </w:pPr>
      <w:r>
        <w:rPr>
          <w:rFonts w:hint="eastAsia" w:ascii="宋体" w:hAnsi="宋体" w:cs="宋体"/>
          <w:szCs w:val="21"/>
          <w:highlight w:val="none"/>
        </w:rPr>
        <w:t>2.5“响应文件”供应商向采购人或采购代理机构提交的响应文件。</w:t>
      </w:r>
    </w:p>
    <w:p w14:paraId="5E672464">
      <w:pPr>
        <w:spacing w:line="360" w:lineRule="auto"/>
        <w:ind w:firstLine="420"/>
        <w:rPr>
          <w:rFonts w:hint="eastAsia" w:ascii="宋体" w:hAnsi="宋体" w:cs="宋体"/>
          <w:szCs w:val="21"/>
          <w:highlight w:val="none"/>
        </w:rPr>
      </w:pPr>
      <w:r>
        <w:rPr>
          <w:rFonts w:hint="eastAsia" w:ascii="宋体" w:hAnsi="宋体" w:cs="宋体"/>
          <w:szCs w:val="21"/>
          <w:highlight w:val="none"/>
        </w:rPr>
        <w:t>2.6“服务”采购文件规定的供应商为完成采购项目所需承担的全部义务。</w:t>
      </w:r>
    </w:p>
    <w:p w14:paraId="35EBFFAC">
      <w:pPr>
        <w:pStyle w:val="4"/>
        <w:numPr>
          <w:ilvl w:val="0"/>
          <w:numId w:val="3"/>
        </w:numPr>
        <w:tabs>
          <w:tab w:val="left" w:pos="323"/>
          <w:tab w:val="left" w:pos="335"/>
        </w:tabs>
        <w:rPr>
          <w:rFonts w:hint="eastAsia" w:ascii="宋体" w:hAnsi="宋体" w:cs="宋体"/>
          <w:sz w:val="21"/>
          <w:szCs w:val="21"/>
          <w:highlight w:val="none"/>
        </w:rPr>
      </w:pPr>
      <w:bookmarkStart w:id="28" w:name="_Toc5352"/>
      <w:bookmarkStart w:id="29" w:name="_Toc30912"/>
      <w:bookmarkStart w:id="30" w:name="_Toc7265"/>
      <w:bookmarkStart w:id="31" w:name="_Toc26148"/>
      <w:bookmarkStart w:id="32" w:name="_Toc15089"/>
      <w:r>
        <w:rPr>
          <w:rFonts w:hint="eastAsia" w:ascii="宋体" w:hAnsi="宋体" w:cs="宋体"/>
          <w:sz w:val="21"/>
          <w:szCs w:val="21"/>
          <w:highlight w:val="none"/>
        </w:rPr>
        <w:t>项目说明</w:t>
      </w:r>
      <w:bookmarkEnd w:id="28"/>
      <w:bookmarkEnd w:id="29"/>
      <w:bookmarkEnd w:id="30"/>
      <w:bookmarkEnd w:id="31"/>
      <w:bookmarkEnd w:id="32"/>
    </w:p>
    <w:p w14:paraId="39BC402D">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3.1项目名称：见供应商须知前附表。</w:t>
      </w:r>
    </w:p>
    <w:p w14:paraId="05F6DE42">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3.2项目地点：见供应商须知前附表。</w:t>
      </w:r>
    </w:p>
    <w:p w14:paraId="6AB950A2">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3.3项目概况及采购范围：见供应商须知前附表。</w:t>
      </w:r>
    </w:p>
    <w:p w14:paraId="62573BB4">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3.4计划工期/供货期/服务期：见供应商须知前附表。</w:t>
      </w:r>
    </w:p>
    <w:p w14:paraId="479A54F6">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3.5质量要求：见供应商须知前附表。</w:t>
      </w:r>
    </w:p>
    <w:p w14:paraId="06BA42C7">
      <w:pPr>
        <w:ind w:firstLine="420" w:firstLineChars="200"/>
        <w:rPr>
          <w:rFonts w:hint="eastAsia" w:ascii="宋体" w:hAnsi="宋体" w:cs="宋体"/>
          <w:highlight w:val="none"/>
        </w:rPr>
      </w:pPr>
      <w:r>
        <w:rPr>
          <w:rFonts w:hint="eastAsia" w:ascii="宋体" w:hAnsi="宋体" w:cs="宋体"/>
          <w:szCs w:val="21"/>
          <w:highlight w:val="none"/>
        </w:rPr>
        <w:t>3.6交货/服务地点：见供应商须知前附表。</w:t>
      </w:r>
    </w:p>
    <w:p w14:paraId="32A084DD">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3.7资金来源和落实情况：见供应商须知前附表。</w:t>
      </w:r>
    </w:p>
    <w:p w14:paraId="5315F171">
      <w:pPr>
        <w:pStyle w:val="4"/>
        <w:numPr>
          <w:ilvl w:val="0"/>
          <w:numId w:val="3"/>
        </w:numPr>
        <w:tabs>
          <w:tab w:val="left" w:pos="298"/>
          <w:tab w:val="left" w:pos="323"/>
          <w:tab w:val="left" w:pos="373"/>
        </w:tabs>
        <w:rPr>
          <w:rFonts w:hint="eastAsia" w:ascii="宋体" w:hAnsi="宋体" w:cs="宋体"/>
          <w:sz w:val="21"/>
          <w:szCs w:val="21"/>
          <w:highlight w:val="none"/>
        </w:rPr>
      </w:pPr>
      <w:bookmarkStart w:id="33" w:name="_Toc25552"/>
      <w:bookmarkStart w:id="34" w:name="_Toc1564"/>
      <w:bookmarkStart w:id="35" w:name="_Toc24825"/>
      <w:bookmarkStart w:id="36" w:name="_Toc19009"/>
      <w:r>
        <w:rPr>
          <w:rFonts w:hint="eastAsia" w:ascii="宋体" w:hAnsi="宋体" w:cs="宋体"/>
          <w:sz w:val="21"/>
          <w:szCs w:val="21"/>
          <w:highlight w:val="none"/>
        </w:rPr>
        <w:t>供应商资格要求</w:t>
      </w:r>
      <w:bookmarkEnd w:id="33"/>
      <w:bookmarkEnd w:id="34"/>
      <w:bookmarkEnd w:id="35"/>
      <w:bookmarkEnd w:id="36"/>
    </w:p>
    <w:p w14:paraId="0BDC701E">
      <w:pPr>
        <w:keepNext/>
        <w:keepLines/>
        <w:ind w:firstLine="420" w:firstLineChars="200"/>
        <w:rPr>
          <w:rFonts w:hint="eastAsia" w:ascii="宋体" w:hAnsi="宋体" w:cs="宋体"/>
          <w:szCs w:val="21"/>
          <w:highlight w:val="none"/>
        </w:rPr>
      </w:pPr>
      <w:r>
        <w:rPr>
          <w:rFonts w:hint="eastAsia" w:ascii="宋体" w:hAnsi="宋体" w:cs="宋体"/>
          <w:szCs w:val="21"/>
          <w:highlight w:val="none"/>
        </w:rPr>
        <w:t>4.1供应商资格要求：见响应人须知前附表。</w:t>
      </w:r>
    </w:p>
    <w:p w14:paraId="22C5F03D">
      <w:pPr>
        <w:pStyle w:val="13"/>
        <w:spacing w:line="360" w:lineRule="auto"/>
        <w:ind w:left="425" w:right="92"/>
        <w:rPr>
          <w:rFonts w:hint="eastAsia" w:ascii="宋体" w:hAnsi="宋体" w:cs="宋体"/>
          <w:sz w:val="21"/>
          <w:szCs w:val="21"/>
          <w:highlight w:val="none"/>
        </w:rPr>
      </w:pPr>
      <w:r>
        <w:rPr>
          <w:rFonts w:hint="eastAsia" w:ascii="宋体" w:hAnsi="宋体" w:cs="宋体"/>
          <w:sz w:val="21"/>
          <w:szCs w:val="21"/>
          <w:highlight w:val="none"/>
        </w:rPr>
        <w:t>4.2响应人不得存在下列情形之一：</w:t>
      </w:r>
    </w:p>
    <w:p w14:paraId="1E9E16A0">
      <w:pPr>
        <w:pStyle w:val="13"/>
        <w:spacing w:line="360" w:lineRule="auto"/>
        <w:ind w:left="425" w:right="92"/>
        <w:rPr>
          <w:rFonts w:hint="eastAsia" w:ascii="宋体" w:hAnsi="宋体" w:cs="宋体"/>
          <w:sz w:val="21"/>
          <w:szCs w:val="21"/>
          <w:highlight w:val="none"/>
        </w:rPr>
      </w:pPr>
      <w:r>
        <w:rPr>
          <w:rFonts w:hint="eastAsia" w:ascii="宋体" w:hAnsi="宋体" w:cs="宋体"/>
          <w:sz w:val="21"/>
          <w:szCs w:val="21"/>
          <w:highlight w:val="none"/>
        </w:rPr>
        <w:t>（1）为采购人不具有独立法人资格的附属机构（单位）；</w:t>
      </w:r>
    </w:p>
    <w:p w14:paraId="31D6B006">
      <w:pPr>
        <w:pStyle w:val="13"/>
        <w:spacing w:line="360" w:lineRule="auto"/>
        <w:ind w:left="425" w:right="92"/>
        <w:rPr>
          <w:rFonts w:hint="eastAsia" w:ascii="宋体" w:hAnsi="宋体" w:cs="宋体"/>
          <w:sz w:val="21"/>
          <w:szCs w:val="21"/>
          <w:highlight w:val="none"/>
        </w:rPr>
      </w:pPr>
      <w:r>
        <w:rPr>
          <w:rFonts w:hint="eastAsia" w:ascii="宋体" w:hAnsi="宋体" w:cs="宋体"/>
          <w:sz w:val="21"/>
          <w:szCs w:val="21"/>
          <w:highlight w:val="none"/>
        </w:rPr>
        <w:t>（2）为本项目提供招标代理服务的；</w:t>
      </w:r>
    </w:p>
    <w:p w14:paraId="142B9CFD">
      <w:pPr>
        <w:pStyle w:val="13"/>
        <w:spacing w:line="360" w:lineRule="auto"/>
        <w:ind w:left="425" w:right="92"/>
        <w:rPr>
          <w:rFonts w:hint="eastAsia" w:ascii="宋体" w:hAnsi="宋体" w:cs="宋体"/>
          <w:sz w:val="21"/>
          <w:szCs w:val="21"/>
          <w:highlight w:val="none"/>
        </w:rPr>
      </w:pPr>
      <w:r>
        <w:rPr>
          <w:rFonts w:hint="eastAsia" w:ascii="宋体" w:hAnsi="宋体" w:cs="宋体"/>
          <w:sz w:val="21"/>
          <w:szCs w:val="21"/>
          <w:highlight w:val="none"/>
        </w:rPr>
        <w:t>（3）被责令停业的；</w:t>
      </w:r>
    </w:p>
    <w:p w14:paraId="68326256">
      <w:pPr>
        <w:pStyle w:val="13"/>
        <w:spacing w:line="360" w:lineRule="auto"/>
        <w:ind w:left="425" w:right="92"/>
        <w:rPr>
          <w:rFonts w:hint="eastAsia" w:ascii="宋体" w:hAnsi="宋体" w:cs="宋体"/>
          <w:sz w:val="21"/>
          <w:szCs w:val="21"/>
          <w:highlight w:val="none"/>
        </w:rPr>
      </w:pPr>
      <w:r>
        <w:rPr>
          <w:rFonts w:hint="eastAsia" w:ascii="宋体" w:hAnsi="宋体" w:cs="宋体"/>
          <w:sz w:val="21"/>
          <w:szCs w:val="21"/>
          <w:highlight w:val="none"/>
        </w:rPr>
        <w:t>（4）被暂停或取消投标资格的；</w:t>
      </w:r>
    </w:p>
    <w:p w14:paraId="6FF36192">
      <w:pPr>
        <w:pStyle w:val="13"/>
        <w:spacing w:line="360" w:lineRule="auto"/>
        <w:ind w:left="425" w:right="92"/>
        <w:rPr>
          <w:rFonts w:hint="eastAsia" w:ascii="宋体" w:hAnsi="宋体" w:cs="宋体"/>
          <w:sz w:val="21"/>
          <w:szCs w:val="21"/>
          <w:highlight w:val="none"/>
        </w:rPr>
      </w:pPr>
      <w:r>
        <w:rPr>
          <w:rFonts w:hint="eastAsia" w:ascii="宋体" w:hAnsi="宋体" w:cs="宋体"/>
          <w:sz w:val="21"/>
          <w:szCs w:val="21"/>
          <w:highlight w:val="none"/>
        </w:rPr>
        <w:t>（5）财产被接管或冻结的；</w:t>
      </w:r>
    </w:p>
    <w:p w14:paraId="66F30031">
      <w:pPr>
        <w:pStyle w:val="4"/>
        <w:numPr>
          <w:ilvl w:val="0"/>
          <w:numId w:val="3"/>
        </w:numPr>
        <w:tabs>
          <w:tab w:val="left" w:pos="348"/>
          <w:tab w:val="left" w:pos="410"/>
        </w:tabs>
        <w:rPr>
          <w:rFonts w:hint="eastAsia" w:ascii="宋体" w:hAnsi="宋体" w:cs="宋体"/>
          <w:sz w:val="21"/>
          <w:szCs w:val="21"/>
          <w:highlight w:val="none"/>
        </w:rPr>
      </w:pPr>
      <w:bookmarkStart w:id="37" w:name="_Toc28266"/>
      <w:bookmarkStart w:id="38" w:name="_Toc7977"/>
      <w:bookmarkStart w:id="39" w:name="_Toc6203"/>
      <w:bookmarkStart w:id="40" w:name="_Toc7177"/>
      <w:r>
        <w:rPr>
          <w:rFonts w:hint="eastAsia" w:ascii="宋体" w:hAnsi="宋体" w:cs="宋体"/>
          <w:sz w:val="21"/>
          <w:szCs w:val="21"/>
          <w:highlight w:val="none"/>
        </w:rPr>
        <w:t>供应商应承担的各项费用</w:t>
      </w:r>
      <w:bookmarkEnd w:id="37"/>
      <w:bookmarkEnd w:id="38"/>
      <w:bookmarkEnd w:id="39"/>
      <w:bookmarkEnd w:id="40"/>
    </w:p>
    <w:p w14:paraId="135B5635">
      <w:pPr>
        <w:keepNext/>
        <w:keepLines/>
        <w:ind w:firstLine="420" w:firstLineChars="200"/>
        <w:rPr>
          <w:rFonts w:hint="eastAsia" w:ascii="宋体" w:hAnsi="宋体" w:cs="宋体"/>
          <w:szCs w:val="21"/>
          <w:highlight w:val="none"/>
        </w:rPr>
      </w:pPr>
      <w:r>
        <w:rPr>
          <w:rFonts w:hint="eastAsia" w:ascii="宋体" w:hAnsi="宋体" w:cs="宋体"/>
          <w:szCs w:val="21"/>
          <w:highlight w:val="none"/>
        </w:rPr>
        <w:t>5.1</w:t>
      </w:r>
      <w:r>
        <w:rPr>
          <w:rFonts w:hint="eastAsia" w:ascii="宋体" w:hAnsi="宋体" w:cs="宋体"/>
          <w:spacing w:val="-2"/>
          <w:szCs w:val="21"/>
          <w:highlight w:val="none"/>
        </w:rPr>
        <w:t>响应人准备和参加询比采购活动发生的费用自理。</w:t>
      </w:r>
    </w:p>
    <w:p w14:paraId="3206F324">
      <w:pPr>
        <w:pStyle w:val="4"/>
        <w:numPr>
          <w:ilvl w:val="0"/>
          <w:numId w:val="3"/>
        </w:numPr>
        <w:tabs>
          <w:tab w:val="left" w:pos="310"/>
        </w:tabs>
        <w:rPr>
          <w:rFonts w:hint="eastAsia" w:ascii="宋体" w:hAnsi="宋体" w:cs="宋体"/>
          <w:sz w:val="21"/>
          <w:szCs w:val="21"/>
          <w:highlight w:val="none"/>
        </w:rPr>
      </w:pPr>
      <w:bookmarkStart w:id="41" w:name="_Toc1144"/>
      <w:bookmarkStart w:id="42" w:name="_Toc13020"/>
      <w:bookmarkStart w:id="43" w:name="_Toc2733"/>
      <w:bookmarkStart w:id="44" w:name="_Toc23994"/>
      <w:r>
        <w:rPr>
          <w:rFonts w:hint="eastAsia" w:ascii="宋体" w:hAnsi="宋体" w:cs="宋体"/>
          <w:sz w:val="21"/>
          <w:szCs w:val="21"/>
          <w:highlight w:val="none"/>
        </w:rPr>
        <w:t>保密等事项</w:t>
      </w:r>
      <w:bookmarkEnd w:id="41"/>
      <w:bookmarkEnd w:id="42"/>
      <w:bookmarkEnd w:id="43"/>
      <w:bookmarkEnd w:id="44"/>
    </w:p>
    <w:p w14:paraId="4FAA7548">
      <w:pPr>
        <w:spacing w:line="360" w:lineRule="auto"/>
        <w:ind w:firstLine="420"/>
        <w:rPr>
          <w:rFonts w:hint="eastAsia" w:ascii="宋体" w:hAnsi="宋体" w:cs="宋体"/>
          <w:szCs w:val="21"/>
          <w:highlight w:val="none"/>
        </w:rPr>
      </w:pPr>
      <w:r>
        <w:rPr>
          <w:rFonts w:hint="eastAsia" w:ascii="宋体" w:hAnsi="宋体" w:cs="宋体"/>
          <w:szCs w:val="21"/>
          <w:highlight w:val="none"/>
        </w:rPr>
        <w:t>6.1由采购人向供应商提供的采购文件、详细资料和其他资料，均被视为保密资料，仅被用于它所规定的用途，除非得到采购人的同意，不能向任何第三方透露。</w:t>
      </w:r>
    </w:p>
    <w:p w14:paraId="596236C1">
      <w:pPr>
        <w:spacing w:line="360" w:lineRule="auto"/>
        <w:ind w:firstLine="420"/>
        <w:rPr>
          <w:rFonts w:hint="eastAsia" w:ascii="宋体" w:hAnsi="宋体" w:cs="宋体"/>
          <w:szCs w:val="21"/>
          <w:highlight w:val="none"/>
        </w:rPr>
      </w:pPr>
      <w:r>
        <w:rPr>
          <w:rFonts w:hint="eastAsia" w:ascii="宋体" w:hAnsi="宋体" w:cs="宋体"/>
          <w:szCs w:val="21"/>
          <w:highlight w:val="none"/>
        </w:rPr>
        <w:t>6.2响应文件开启完成后，应采购人要求，供应商应归还采购人认为必要的从采购人处获得的保密资料。</w:t>
      </w:r>
    </w:p>
    <w:p w14:paraId="27DB5DA9">
      <w:pPr>
        <w:numPr>
          <w:ilvl w:val="0"/>
          <w:numId w:val="2"/>
        </w:numPr>
        <w:jc w:val="center"/>
        <w:outlineLvl w:val="1"/>
        <w:rPr>
          <w:rFonts w:hint="eastAsia" w:ascii="宋体" w:hAnsi="宋体" w:cs="宋体"/>
          <w:b/>
          <w:bCs/>
          <w:sz w:val="24"/>
          <w:szCs w:val="24"/>
          <w:highlight w:val="none"/>
        </w:rPr>
      </w:pPr>
      <w:bookmarkStart w:id="45" w:name="_Toc7841"/>
      <w:bookmarkStart w:id="46" w:name="_Toc10603"/>
      <w:bookmarkStart w:id="47" w:name="_Toc4347"/>
      <w:bookmarkStart w:id="48" w:name="_Toc30181"/>
      <w:r>
        <w:rPr>
          <w:rFonts w:hint="eastAsia" w:ascii="宋体" w:hAnsi="宋体" w:cs="宋体"/>
          <w:b/>
          <w:bCs/>
          <w:sz w:val="24"/>
          <w:szCs w:val="24"/>
          <w:highlight w:val="none"/>
        </w:rPr>
        <w:t>采购文件说明</w:t>
      </w:r>
      <w:bookmarkEnd w:id="45"/>
      <w:bookmarkEnd w:id="46"/>
      <w:bookmarkEnd w:id="47"/>
      <w:bookmarkEnd w:id="48"/>
    </w:p>
    <w:p w14:paraId="25A4E42E">
      <w:pPr>
        <w:pStyle w:val="4"/>
        <w:numPr>
          <w:ilvl w:val="0"/>
          <w:numId w:val="3"/>
        </w:numPr>
        <w:tabs>
          <w:tab w:val="left" w:pos="273"/>
          <w:tab w:val="left" w:pos="298"/>
          <w:tab w:val="left" w:pos="360"/>
        </w:tabs>
        <w:rPr>
          <w:rFonts w:hint="eastAsia" w:ascii="宋体" w:hAnsi="宋体" w:cs="宋体"/>
          <w:sz w:val="21"/>
          <w:szCs w:val="21"/>
          <w:highlight w:val="none"/>
        </w:rPr>
      </w:pPr>
      <w:bookmarkStart w:id="49" w:name="_Toc22435"/>
      <w:bookmarkStart w:id="50" w:name="_Toc30183"/>
      <w:bookmarkStart w:id="51" w:name="_Toc13533"/>
      <w:bookmarkStart w:id="52" w:name="_Toc1562"/>
      <w:r>
        <w:rPr>
          <w:rFonts w:hint="eastAsia" w:ascii="宋体" w:hAnsi="宋体" w:cs="宋体"/>
          <w:sz w:val="21"/>
          <w:szCs w:val="21"/>
          <w:highlight w:val="none"/>
        </w:rPr>
        <w:t>采购文件组成</w:t>
      </w:r>
      <w:bookmarkEnd w:id="49"/>
      <w:bookmarkEnd w:id="50"/>
      <w:bookmarkEnd w:id="51"/>
      <w:bookmarkEnd w:id="52"/>
    </w:p>
    <w:p w14:paraId="41D26CA3">
      <w:pPr>
        <w:widowControl/>
        <w:ind w:firstLine="420" w:firstLineChars="200"/>
        <w:jc w:val="left"/>
        <w:rPr>
          <w:rFonts w:hint="eastAsia" w:ascii="宋体" w:hAnsi="宋体" w:cs="宋体"/>
          <w:szCs w:val="21"/>
          <w:highlight w:val="none"/>
        </w:rPr>
      </w:pPr>
      <w:r>
        <w:rPr>
          <w:rFonts w:hint="eastAsia" w:ascii="宋体" w:hAnsi="宋体" w:cs="宋体"/>
          <w:szCs w:val="21"/>
          <w:highlight w:val="none"/>
        </w:rPr>
        <w:t>7.1 采购文件由下述部分组成：</w:t>
      </w:r>
    </w:p>
    <w:p w14:paraId="409E7E55">
      <w:pPr>
        <w:widowControl/>
        <w:spacing w:line="360" w:lineRule="auto"/>
        <w:ind w:firstLine="840" w:firstLineChars="400"/>
        <w:jc w:val="left"/>
        <w:rPr>
          <w:rFonts w:hint="eastAsia" w:ascii="宋体" w:hAnsi="宋体" w:cs="宋体"/>
          <w:szCs w:val="21"/>
          <w:highlight w:val="none"/>
        </w:rPr>
      </w:pPr>
      <w:r>
        <w:rPr>
          <w:rFonts w:hint="eastAsia" w:ascii="宋体" w:hAnsi="宋体" w:cs="宋体"/>
          <w:szCs w:val="21"/>
          <w:highlight w:val="none"/>
        </w:rPr>
        <w:t xml:space="preserve">第一章 询比采购邀请函   </w:t>
      </w:r>
    </w:p>
    <w:p w14:paraId="1B6169E8">
      <w:pPr>
        <w:widowControl/>
        <w:spacing w:line="360" w:lineRule="auto"/>
        <w:ind w:firstLine="840" w:firstLineChars="400"/>
        <w:jc w:val="left"/>
        <w:rPr>
          <w:rFonts w:hint="eastAsia" w:ascii="宋体" w:hAnsi="宋体" w:cs="宋体"/>
          <w:szCs w:val="21"/>
          <w:highlight w:val="none"/>
        </w:rPr>
      </w:pPr>
      <w:r>
        <w:rPr>
          <w:rFonts w:hint="eastAsia" w:ascii="宋体" w:hAnsi="宋体" w:cs="宋体"/>
          <w:szCs w:val="21"/>
          <w:highlight w:val="none"/>
        </w:rPr>
        <w:t>第二章 供应商须知</w:t>
      </w:r>
    </w:p>
    <w:p w14:paraId="0328B9C2">
      <w:pPr>
        <w:widowControl/>
        <w:spacing w:line="360" w:lineRule="auto"/>
        <w:ind w:firstLine="840" w:firstLineChars="400"/>
        <w:jc w:val="left"/>
        <w:rPr>
          <w:rFonts w:hint="eastAsia" w:ascii="宋体" w:hAnsi="宋体" w:cs="宋体"/>
          <w:szCs w:val="21"/>
          <w:highlight w:val="none"/>
        </w:rPr>
      </w:pPr>
      <w:r>
        <w:rPr>
          <w:rFonts w:hint="eastAsia" w:ascii="宋体" w:hAnsi="宋体" w:cs="宋体"/>
          <w:szCs w:val="21"/>
          <w:highlight w:val="none"/>
        </w:rPr>
        <w:t>第三章 评审办法</w:t>
      </w:r>
    </w:p>
    <w:p w14:paraId="4C6AFE19">
      <w:pPr>
        <w:widowControl/>
        <w:spacing w:line="360" w:lineRule="auto"/>
        <w:ind w:firstLine="840" w:firstLineChars="400"/>
        <w:jc w:val="left"/>
        <w:rPr>
          <w:rFonts w:hint="eastAsia" w:ascii="宋体" w:hAnsi="宋体" w:cs="宋体"/>
          <w:szCs w:val="21"/>
          <w:highlight w:val="none"/>
        </w:rPr>
      </w:pPr>
      <w:r>
        <w:rPr>
          <w:rFonts w:hint="eastAsia" w:ascii="宋体" w:hAnsi="宋体" w:cs="宋体"/>
          <w:szCs w:val="21"/>
          <w:highlight w:val="none"/>
        </w:rPr>
        <w:t>第四章 合同条款及格式</w:t>
      </w:r>
    </w:p>
    <w:p w14:paraId="3FA2EEE2">
      <w:pPr>
        <w:widowControl/>
        <w:spacing w:line="360" w:lineRule="auto"/>
        <w:ind w:firstLine="840" w:firstLineChars="400"/>
        <w:jc w:val="left"/>
        <w:rPr>
          <w:rFonts w:hint="eastAsia" w:ascii="宋体" w:hAnsi="宋体" w:cs="宋体"/>
          <w:szCs w:val="21"/>
          <w:highlight w:val="none"/>
        </w:rPr>
      </w:pPr>
      <w:r>
        <w:rPr>
          <w:rFonts w:hint="eastAsia" w:ascii="宋体" w:hAnsi="宋体" w:cs="宋体"/>
          <w:szCs w:val="21"/>
          <w:highlight w:val="none"/>
        </w:rPr>
        <w:t>第五章 采购需求</w:t>
      </w:r>
    </w:p>
    <w:p w14:paraId="68B330DC">
      <w:pPr>
        <w:widowControl/>
        <w:spacing w:line="360" w:lineRule="auto"/>
        <w:ind w:firstLine="840" w:firstLineChars="400"/>
        <w:jc w:val="left"/>
        <w:rPr>
          <w:rFonts w:hint="eastAsia" w:ascii="宋体" w:hAnsi="宋体" w:cs="宋体"/>
          <w:szCs w:val="21"/>
          <w:highlight w:val="none"/>
        </w:rPr>
      </w:pPr>
      <w:r>
        <w:rPr>
          <w:rFonts w:hint="eastAsia" w:ascii="宋体" w:hAnsi="宋体" w:cs="宋体"/>
          <w:szCs w:val="21"/>
          <w:highlight w:val="none"/>
        </w:rPr>
        <w:t>第六章 响应文件格式</w:t>
      </w:r>
    </w:p>
    <w:p w14:paraId="3D66632E">
      <w:pPr>
        <w:widowControl/>
        <w:spacing w:line="360" w:lineRule="auto"/>
        <w:ind w:firstLine="840" w:firstLineChars="400"/>
        <w:jc w:val="left"/>
        <w:rPr>
          <w:rFonts w:hint="eastAsia" w:ascii="宋体" w:hAnsi="宋体" w:cs="宋体"/>
          <w:szCs w:val="21"/>
          <w:highlight w:val="none"/>
        </w:rPr>
      </w:pPr>
      <w:r>
        <w:rPr>
          <w:rFonts w:hint="eastAsia" w:ascii="宋体" w:hAnsi="宋体" w:cs="宋体"/>
          <w:szCs w:val="21"/>
          <w:highlight w:val="none"/>
        </w:rPr>
        <w:t>第七章 其他内容</w:t>
      </w:r>
    </w:p>
    <w:p w14:paraId="1BF7ADD6">
      <w:pPr>
        <w:spacing w:line="360" w:lineRule="auto"/>
        <w:ind w:firstLine="315" w:firstLineChars="150"/>
        <w:rPr>
          <w:rFonts w:hint="eastAsia" w:ascii="宋体" w:hAnsi="宋体" w:cs="宋体"/>
          <w:szCs w:val="21"/>
          <w:highlight w:val="none"/>
        </w:rPr>
      </w:pPr>
      <w:r>
        <w:rPr>
          <w:rFonts w:hint="eastAsia" w:ascii="宋体" w:hAnsi="宋体" w:cs="宋体"/>
          <w:szCs w:val="21"/>
          <w:highlight w:val="none"/>
        </w:rPr>
        <w:t>7.2 除非有特殊要求，采购文件不单独提供采购项目使用地的自然环境、气候条件、公用设施等情况，供应商被视为熟悉上述与履行合同有关的一切情况。</w:t>
      </w:r>
    </w:p>
    <w:p w14:paraId="07D4A138">
      <w:pPr>
        <w:pStyle w:val="4"/>
        <w:numPr>
          <w:ilvl w:val="0"/>
          <w:numId w:val="3"/>
        </w:numPr>
        <w:tabs>
          <w:tab w:val="left" w:pos="323"/>
          <w:tab w:val="left" w:pos="385"/>
        </w:tabs>
        <w:rPr>
          <w:rFonts w:hint="eastAsia" w:ascii="宋体" w:hAnsi="宋体" w:cs="宋体"/>
          <w:sz w:val="21"/>
          <w:szCs w:val="21"/>
          <w:highlight w:val="none"/>
        </w:rPr>
      </w:pPr>
      <w:bookmarkStart w:id="53" w:name="_Toc551"/>
      <w:bookmarkStart w:id="54" w:name="_Toc21514"/>
      <w:bookmarkStart w:id="55" w:name="_Toc5874"/>
      <w:bookmarkStart w:id="56" w:name="_Toc13287"/>
      <w:r>
        <w:rPr>
          <w:rFonts w:hint="eastAsia" w:ascii="宋体" w:hAnsi="宋体" w:cs="宋体"/>
          <w:sz w:val="21"/>
          <w:szCs w:val="21"/>
          <w:highlight w:val="none"/>
        </w:rPr>
        <w:t>采购文件的澄清和修改</w:t>
      </w:r>
      <w:bookmarkEnd w:id="53"/>
      <w:bookmarkEnd w:id="54"/>
      <w:bookmarkEnd w:id="55"/>
      <w:bookmarkEnd w:id="56"/>
    </w:p>
    <w:p w14:paraId="033996D9">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8.1供应商提交响应文件截止之日前，采购人或采购代理机构可对已发出的采购文件进行必要的澄清或修改，澄清或修改的内容作为采购文件的组成部分。</w:t>
      </w:r>
    </w:p>
    <w:p w14:paraId="535CAA78">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8.2 澄清或者修改的内容可能影响响应文件编制的，采购人或采购代理机构应当在提交响应文件截止之日前，以书面形式通知所有接收文件的供应商，采购人或采购代理机构根据澄清和修改的内容视情况顺延提交首次响应文件截止之日。</w:t>
      </w:r>
    </w:p>
    <w:p w14:paraId="25049ACF">
      <w:pPr>
        <w:widowControl/>
        <w:spacing w:line="360" w:lineRule="auto"/>
        <w:ind w:firstLine="420" w:firstLineChars="200"/>
        <w:jc w:val="left"/>
        <w:rPr>
          <w:rFonts w:hint="eastAsia" w:ascii="宋体" w:hAnsi="宋体" w:cs="宋体"/>
          <w:b/>
          <w:bCs/>
          <w:i/>
          <w:iCs/>
          <w:szCs w:val="21"/>
          <w:highlight w:val="none"/>
        </w:rPr>
      </w:pPr>
      <w:r>
        <w:rPr>
          <w:rFonts w:hint="eastAsia" w:ascii="宋体" w:hAnsi="宋体" w:cs="宋体"/>
          <w:szCs w:val="21"/>
          <w:highlight w:val="none"/>
        </w:rPr>
        <w:t>8.3采购文件的澄清或修改内容必须同时提供给所有获取采购文件的供应商，供应商在收悉澄清或修改文件后予以回函确认。</w:t>
      </w:r>
    </w:p>
    <w:p w14:paraId="3CB3C02E">
      <w:pPr>
        <w:pStyle w:val="4"/>
        <w:numPr>
          <w:ilvl w:val="0"/>
          <w:numId w:val="3"/>
        </w:numPr>
        <w:tabs>
          <w:tab w:val="left" w:pos="323"/>
          <w:tab w:val="left" w:pos="385"/>
        </w:tabs>
        <w:rPr>
          <w:rFonts w:hint="eastAsia" w:ascii="宋体" w:hAnsi="宋体" w:cs="宋体"/>
          <w:sz w:val="21"/>
          <w:szCs w:val="21"/>
          <w:highlight w:val="none"/>
        </w:rPr>
      </w:pPr>
      <w:bookmarkStart w:id="57" w:name="_Toc18826"/>
      <w:bookmarkStart w:id="58" w:name="_Toc9616"/>
      <w:bookmarkStart w:id="59" w:name="_Toc4129"/>
      <w:bookmarkStart w:id="60" w:name="_Toc14362"/>
      <w:r>
        <w:rPr>
          <w:rFonts w:hint="eastAsia" w:ascii="宋体" w:hAnsi="宋体" w:cs="宋体"/>
          <w:sz w:val="21"/>
          <w:szCs w:val="21"/>
          <w:highlight w:val="none"/>
        </w:rPr>
        <w:t>答疑会</w:t>
      </w:r>
      <w:bookmarkEnd w:id="57"/>
      <w:bookmarkEnd w:id="58"/>
      <w:bookmarkEnd w:id="59"/>
      <w:bookmarkEnd w:id="60"/>
    </w:p>
    <w:p w14:paraId="56E07B67">
      <w:pPr>
        <w:widowControl/>
        <w:spacing w:line="360" w:lineRule="auto"/>
        <w:ind w:firstLine="315" w:firstLineChars="150"/>
        <w:jc w:val="left"/>
        <w:rPr>
          <w:rFonts w:hint="eastAsia" w:ascii="宋体" w:hAnsi="宋体" w:cs="宋体"/>
          <w:szCs w:val="21"/>
          <w:highlight w:val="none"/>
        </w:rPr>
      </w:pPr>
      <w:r>
        <w:rPr>
          <w:rFonts w:hint="eastAsia" w:ascii="宋体" w:hAnsi="宋体" w:cs="宋体"/>
          <w:szCs w:val="21"/>
          <w:highlight w:val="none"/>
        </w:rPr>
        <w:t>9.1采购人召开答疑会的，所有供应商应按采购文件规定的时间、地点参加答疑会。供应商如不参加，其风险由供应商自行承担，采购人不承担任何责任。</w:t>
      </w:r>
    </w:p>
    <w:p w14:paraId="7CEAFE53">
      <w:pPr>
        <w:pStyle w:val="4"/>
        <w:numPr>
          <w:ilvl w:val="0"/>
          <w:numId w:val="3"/>
        </w:numPr>
        <w:tabs>
          <w:tab w:val="left" w:pos="323"/>
          <w:tab w:val="left" w:pos="385"/>
        </w:tabs>
        <w:rPr>
          <w:rFonts w:hint="eastAsia" w:ascii="宋体" w:hAnsi="宋体" w:cs="宋体"/>
          <w:sz w:val="21"/>
          <w:szCs w:val="21"/>
          <w:highlight w:val="none"/>
        </w:rPr>
      </w:pPr>
      <w:bookmarkStart w:id="61" w:name="_Toc23530"/>
      <w:bookmarkStart w:id="62" w:name="_Toc4522"/>
      <w:bookmarkStart w:id="63" w:name="_Toc30466"/>
      <w:bookmarkStart w:id="64" w:name="_Toc24815"/>
      <w:r>
        <w:rPr>
          <w:rFonts w:hint="eastAsia" w:ascii="宋体" w:hAnsi="宋体" w:cs="宋体"/>
          <w:sz w:val="21"/>
          <w:szCs w:val="21"/>
          <w:highlight w:val="none"/>
        </w:rPr>
        <w:t>其他</w:t>
      </w:r>
      <w:bookmarkEnd w:id="61"/>
      <w:bookmarkEnd w:id="62"/>
      <w:bookmarkEnd w:id="63"/>
      <w:bookmarkEnd w:id="64"/>
    </w:p>
    <w:p w14:paraId="5E2BA32C">
      <w:pPr>
        <w:numPr>
          <w:ilvl w:val="0"/>
          <w:numId w:val="2"/>
        </w:numPr>
        <w:jc w:val="center"/>
        <w:outlineLvl w:val="1"/>
        <w:rPr>
          <w:rFonts w:hint="eastAsia" w:ascii="宋体" w:hAnsi="宋体" w:cs="宋体"/>
          <w:b/>
          <w:bCs/>
          <w:sz w:val="24"/>
          <w:szCs w:val="24"/>
          <w:highlight w:val="none"/>
        </w:rPr>
      </w:pPr>
      <w:bookmarkStart w:id="65" w:name="_Toc31435"/>
      <w:bookmarkStart w:id="66" w:name="_Toc13845"/>
      <w:bookmarkStart w:id="67" w:name="_Toc2658"/>
      <w:bookmarkStart w:id="68" w:name="_Toc6721"/>
      <w:r>
        <w:rPr>
          <w:rFonts w:hint="eastAsia" w:ascii="宋体" w:hAnsi="宋体" w:cs="宋体"/>
          <w:b/>
          <w:bCs/>
          <w:sz w:val="24"/>
          <w:szCs w:val="24"/>
          <w:highlight w:val="none"/>
        </w:rPr>
        <w:t>响应文件</w:t>
      </w:r>
      <w:bookmarkEnd w:id="65"/>
      <w:bookmarkEnd w:id="66"/>
      <w:bookmarkEnd w:id="67"/>
      <w:bookmarkEnd w:id="68"/>
    </w:p>
    <w:p w14:paraId="4B1FB3EA">
      <w:pPr>
        <w:pStyle w:val="4"/>
        <w:numPr>
          <w:ilvl w:val="0"/>
          <w:numId w:val="3"/>
        </w:numPr>
        <w:tabs>
          <w:tab w:val="left" w:pos="498"/>
          <w:tab w:val="left" w:pos="610"/>
          <w:tab w:val="left" w:pos="710"/>
        </w:tabs>
        <w:jc w:val="both"/>
        <w:rPr>
          <w:rFonts w:hint="eastAsia" w:ascii="宋体" w:hAnsi="宋体" w:cs="宋体"/>
          <w:sz w:val="21"/>
          <w:szCs w:val="21"/>
          <w:highlight w:val="none"/>
        </w:rPr>
      </w:pPr>
      <w:bookmarkStart w:id="69" w:name="_Toc2090"/>
      <w:bookmarkStart w:id="70" w:name="_Toc7048"/>
      <w:bookmarkStart w:id="71" w:name="_Toc7078"/>
      <w:bookmarkStart w:id="72" w:name="_Toc11590"/>
      <w:r>
        <w:rPr>
          <w:rFonts w:hint="eastAsia" w:ascii="宋体" w:hAnsi="宋体" w:cs="宋体"/>
          <w:sz w:val="21"/>
          <w:szCs w:val="21"/>
          <w:highlight w:val="none"/>
        </w:rPr>
        <w:t>编制要求</w:t>
      </w:r>
      <w:bookmarkEnd w:id="69"/>
      <w:bookmarkEnd w:id="70"/>
      <w:bookmarkEnd w:id="71"/>
      <w:bookmarkEnd w:id="72"/>
    </w:p>
    <w:p w14:paraId="1A45E530">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11.1供应商应仔细阅读采购文件的所有内容，按采购文件要求编制响应文件，以使其对采购文件做出实质性响应。否则，其响应文件可能被拒绝，供应商须自行承担由此引起的风险和责任。</w:t>
      </w:r>
    </w:p>
    <w:p w14:paraId="0676195D">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11.2供应商应根据采购项目需求和响应文件格式编制响应文件，保证其真实有效，并承担相应的法律责任。</w:t>
      </w:r>
    </w:p>
    <w:p w14:paraId="7BB7BDBA">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11.3供应商应对响应文件所提供的全部资料的真实性承担法律责任，并无条件接受采购人对其中任何资料进行核实的要求。采购人核对发现有不一致或供应商无正当理由不按时提供相关资料的，按有关规定执行。</w:t>
      </w:r>
    </w:p>
    <w:p w14:paraId="52F68A92">
      <w:pPr>
        <w:pStyle w:val="4"/>
        <w:numPr>
          <w:ilvl w:val="0"/>
          <w:numId w:val="3"/>
        </w:numPr>
        <w:tabs>
          <w:tab w:val="left" w:pos="448"/>
          <w:tab w:val="left" w:pos="473"/>
          <w:tab w:val="left" w:pos="710"/>
        </w:tabs>
        <w:rPr>
          <w:rFonts w:hint="eastAsia" w:ascii="宋体" w:hAnsi="宋体" w:cs="宋体"/>
          <w:sz w:val="21"/>
          <w:szCs w:val="21"/>
          <w:highlight w:val="none"/>
        </w:rPr>
      </w:pPr>
      <w:bookmarkStart w:id="73" w:name="_Toc19647"/>
      <w:bookmarkStart w:id="74" w:name="_Toc30542"/>
      <w:bookmarkStart w:id="75" w:name="_Toc10666"/>
      <w:bookmarkStart w:id="76" w:name="_Toc24"/>
      <w:r>
        <w:rPr>
          <w:rFonts w:hint="eastAsia" w:ascii="宋体" w:hAnsi="宋体" w:cs="宋体"/>
          <w:sz w:val="21"/>
          <w:szCs w:val="21"/>
          <w:highlight w:val="none"/>
        </w:rPr>
        <w:t>采购语言及计量单位</w:t>
      </w:r>
      <w:bookmarkEnd w:id="73"/>
      <w:bookmarkEnd w:id="74"/>
      <w:bookmarkEnd w:id="75"/>
      <w:bookmarkEnd w:id="76"/>
    </w:p>
    <w:p w14:paraId="572EE292">
      <w:pPr>
        <w:pStyle w:val="51"/>
        <w:spacing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12.1 供应商和采购人或采购代理机构就采购项目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评审小组有权拒绝其采购行为。</w:t>
      </w:r>
    </w:p>
    <w:p w14:paraId="3CB6EB95">
      <w:pPr>
        <w:pStyle w:val="51"/>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12.2 除采购文件中另有规定外，响应文件所使用的计量单位均应使用中华人民共和国法定计量单位。</w:t>
      </w:r>
    </w:p>
    <w:p w14:paraId="50788639">
      <w:pPr>
        <w:pStyle w:val="4"/>
        <w:numPr>
          <w:ilvl w:val="0"/>
          <w:numId w:val="3"/>
        </w:numPr>
        <w:tabs>
          <w:tab w:val="left" w:pos="460"/>
          <w:tab w:val="left" w:pos="523"/>
          <w:tab w:val="left" w:pos="585"/>
        </w:tabs>
        <w:rPr>
          <w:rFonts w:hint="eastAsia" w:ascii="宋体" w:hAnsi="宋体" w:cs="宋体"/>
          <w:sz w:val="21"/>
          <w:szCs w:val="21"/>
          <w:highlight w:val="none"/>
        </w:rPr>
      </w:pPr>
      <w:bookmarkStart w:id="77" w:name="_Toc32731"/>
      <w:bookmarkStart w:id="78" w:name="_Toc1729"/>
      <w:bookmarkStart w:id="79" w:name="_Toc30065"/>
      <w:bookmarkStart w:id="80" w:name="_Toc18277"/>
      <w:r>
        <w:rPr>
          <w:rFonts w:hint="eastAsia" w:ascii="宋体" w:hAnsi="宋体" w:cs="宋体"/>
          <w:sz w:val="21"/>
          <w:szCs w:val="21"/>
          <w:highlight w:val="none"/>
        </w:rPr>
        <w:t>响应文件编制</w:t>
      </w:r>
      <w:bookmarkEnd w:id="77"/>
      <w:bookmarkEnd w:id="78"/>
      <w:bookmarkEnd w:id="79"/>
      <w:bookmarkEnd w:id="80"/>
    </w:p>
    <w:p w14:paraId="3AC22368">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13.1供应商应按采购文件中提供的响应文件格式完整填写。因不按要求编制而引起系统无法检索、读取相关信息时，其后果由供应商自行承担。</w:t>
      </w:r>
    </w:p>
    <w:p w14:paraId="44D5196F">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13.2供应商可对本采购文件“采购需求”所列的所有内容进行响应，也可只对其中一包或几包的工程/货物/服务响应；若无特殊说明，每一包的内容不得分项响应，采购人原则上按照整包确定成交供应商。</w:t>
      </w:r>
    </w:p>
    <w:p w14:paraId="3E3D8A32">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13.3响应文件必须采用国际标准A4纸型，书式装订，装订牢固，不易散开，不掉页。响应文件应编制页码，并与响应文件目录相对应，中间不得丢页、少页。</w:t>
      </w:r>
    </w:p>
    <w:p w14:paraId="59EB75F5">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13.4响应文件卷内不允许有任何金属物质，不得使用各类装订条，不允许有铅笔、圆珠笔、浅蓝墨水迹。</w:t>
      </w:r>
    </w:p>
    <w:p w14:paraId="39191105">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13.5供应商提交的响应文件，应包括一份正本响应文件、贰份副本响应文件，同时随响应文件一起提供包含响应文件全部内容的电子版U盘一份。一旦正本和副本有差异，以正本为准。响应文件的副本可采用正本的复印件。</w:t>
      </w:r>
    </w:p>
    <w:p w14:paraId="11AEBE91">
      <w:pPr>
        <w:pStyle w:val="4"/>
        <w:numPr>
          <w:ilvl w:val="0"/>
          <w:numId w:val="3"/>
        </w:numPr>
        <w:tabs>
          <w:tab w:val="left" w:pos="460"/>
          <w:tab w:val="left" w:pos="498"/>
          <w:tab w:val="left" w:pos="623"/>
        </w:tabs>
        <w:rPr>
          <w:rFonts w:hint="eastAsia" w:ascii="宋体" w:hAnsi="宋体" w:cs="宋体"/>
          <w:sz w:val="21"/>
          <w:szCs w:val="21"/>
          <w:highlight w:val="none"/>
        </w:rPr>
      </w:pPr>
      <w:bookmarkStart w:id="81" w:name="_Toc30202"/>
      <w:bookmarkStart w:id="82" w:name="_Toc6643"/>
      <w:bookmarkStart w:id="83" w:name="_Toc25669"/>
      <w:bookmarkStart w:id="84" w:name="_Toc15486"/>
      <w:r>
        <w:rPr>
          <w:rFonts w:hint="eastAsia" w:ascii="宋体" w:hAnsi="宋体" w:cs="宋体"/>
          <w:sz w:val="21"/>
          <w:szCs w:val="21"/>
          <w:highlight w:val="none"/>
        </w:rPr>
        <w:t>响应报价</w:t>
      </w:r>
      <w:bookmarkEnd w:id="81"/>
      <w:bookmarkEnd w:id="82"/>
      <w:bookmarkEnd w:id="83"/>
      <w:bookmarkEnd w:id="84"/>
      <w:r>
        <w:rPr>
          <w:rFonts w:hint="eastAsia" w:ascii="宋体" w:hAnsi="宋体" w:cs="宋体"/>
          <w:sz w:val="21"/>
          <w:szCs w:val="21"/>
          <w:highlight w:val="none"/>
          <w:lang w:eastAsia="zh-CN"/>
        </w:rPr>
        <w:t>（</w:t>
      </w:r>
      <w:r>
        <w:rPr>
          <w:rFonts w:hint="eastAsia" w:ascii="宋体" w:hAnsi="宋体" w:cs="宋体"/>
          <w:sz w:val="21"/>
          <w:szCs w:val="21"/>
          <w:highlight w:val="none"/>
          <w:lang w:val="en-US" w:eastAsia="zh-CN"/>
        </w:rPr>
        <w:t>含税</w:t>
      </w:r>
      <w:r>
        <w:rPr>
          <w:rFonts w:hint="eastAsia" w:ascii="宋体" w:hAnsi="宋体" w:cs="宋体"/>
          <w:sz w:val="21"/>
          <w:szCs w:val="21"/>
          <w:highlight w:val="none"/>
          <w:lang w:eastAsia="zh-CN"/>
        </w:rPr>
        <w:t>）</w:t>
      </w:r>
    </w:p>
    <w:p w14:paraId="77D17AAB">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14.1 供应商应按采购文件中规定的报价格式填写相关内容的单价、采购总价，若无特殊说明应采用人民币填报。</w:t>
      </w:r>
    </w:p>
    <w:p w14:paraId="3A5BE297">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14.2 响应报价应填写为完成采购文件规定的一切工作所需的全部费用，且为最终报价。</w:t>
      </w:r>
    </w:p>
    <w:p w14:paraId="7210870E">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14.3 除“采购需求”中说明并允许外，每一项服务的单项报价以及采购项目的总价均只允许有一个报价，任何有选择的报价，均将予以拒绝。</w:t>
      </w:r>
    </w:p>
    <w:p w14:paraId="7F1A19DF">
      <w:pPr>
        <w:pStyle w:val="4"/>
        <w:numPr>
          <w:ilvl w:val="0"/>
          <w:numId w:val="3"/>
        </w:numPr>
        <w:tabs>
          <w:tab w:val="left" w:pos="435"/>
          <w:tab w:val="left" w:pos="485"/>
          <w:tab w:val="left" w:pos="598"/>
        </w:tabs>
        <w:rPr>
          <w:rFonts w:hint="eastAsia" w:ascii="宋体" w:hAnsi="宋体" w:cs="宋体"/>
          <w:sz w:val="21"/>
          <w:szCs w:val="21"/>
          <w:highlight w:val="none"/>
        </w:rPr>
      </w:pPr>
      <w:bookmarkStart w:id="85" w:name="_Toc11033"/>
      <w:bookmarkStart w:id="86" w:name="_Toc4048"/>
      <w:bookmarkStart w:id="87" w:name="_Toc19022"/>
      <w:bookmarkStart w:id="88" w:name="_Toc19730"/>
      <w:r>
        <w:rPr>
          <w:rFonts w:hint="eastAsia" w:ascii="宋体" w:hAnsi="宋体" w:cs="宋体"/>
          <w:sz w:val="21"/>
          <w:szCs w:val="21"/>
          <w:highlight w:val="none"/>
        </w:rPr>
        <w:t>响应文件有效期</w:t>
      </w:r>
      <w:bookmarkEnd w:id="85"/>
      <w:bookmarkEnd w:id="86"/>
      <w:bookmarkEnd w:id="87"/>
      <w:bookmarkEnd w:id="88"/>
    </w:p>
    <w:p w14:paraId="275F6E88">
      <w:pPr>
        <w:widowControl/>
        <w:spacing w:line="360" w:lineRule="auto"/>
        <w:ind w:firstLine="525" w:firstLineChars="250"/>
        <w:jc w:val="left"/>
        <w:rPr>
          <w:rFonts w:hint="eastAsia" w:ascii="宋体" w:hAnsi="宋体" w:cs="宋体"/>
          <w:szCs w:val="21"/>
          <w:highlight w:val="none"/>
        </w:rPr>
      </w:pPr>
      <w:r>
        <w:rPr>
          <w:rFonts w:hint="eastAsia" w:ascii="宋体" w:hAnsi="宋体" w:cs="宋体"/>
          <w:szCs w:val="21"/>
          <w:highlight w:val="none"/>
        </w:rPr>
        <w:t>15.1响应文件有效期为自开启响应文件截止之日起60天。报价书中规定的有效期短于响应文件规定的，其响应将被拒绝。</w:t>
      </w:r>
    </w:p>
    <w:p w14:paraId="13202E40">
      <w:pPr>
        <w:widowControl/>
        <w:spacing w:line="360" w:lineRule="auto"/>
        <w:ind w:firstLine="525" w:firstLineChars="250"/>
        <w:jc w:val="left"/>
        <w:rPr>
          <w:rFonts w:hint="eastAsia" w:ascii="宋体" w:hAnsi="宋体" w:cs="宋体"/>
          <w:szCs w:val="21"/>
          <w:highlight w:val="none"/>
        </w:rPr>
      </w:pPr>
      <w:r>
        <w:rPr>
          <w:rFonts w:hint="eastAsia" w:ascii="宋体" w:hAnsi="宋体" w:cs="宋体"/>
          <w:szCs w:val="21"/>
          <w:highlight w:val="none"/>
        </w:rPr>
        <w:t>15.2特殊情况下，采购人于响应文件有效期满之前，向供应商提出延长响应文件有效期的要求。答复应以书面形式进行</w:t>
      </w:r>
    </w:p>
    <w:p w14:paraId="549B14BB">
      <w:pPr>
        <w:pStyle w:val="4"/>
        <w:numPr>
          <w:ilvl w:val="0"/>
          <w:numId w:val="3"/>
        </w:numPr>
        <w:tabs>
          <w:tab w:val="left" w:pos="460"/>
          <w:tab w:val="left" w:pos="523"/>
          <w:tab w:val="left" w:pos="610"/>
        </w:tabs>
        <w:rPr>
          <w:rFonts w:hint="eastAsia" w:ascii="宋体" w:hAnsi="宋体" w:cs="宋体"/>
          <w:sz w:val="21"/>
          <w:szCs w:val="21"/>
          <w:highlight w:val="none"/>
        </w:rPr>
      </w:pPr>
      <w:bookmarkStart w:id="89" w:name="_Toc29434"/>
      <w:bookmarkStart w:id="90" w:name="_Toc6436"/>
      <w:bookmarkStart w:id="91" w:name="_Toc4852"/>
      <w:bookmarkStart w:id="92" w:name="_Toc27517"/>
      <w:r>
        <w:rPr>
          <w:rFonts w:hint="eastAsia" w:ascii="宋体" w:hAnsi="宋体" w:cs="宋体"/>
          <w:sz w:val="21"/>
          <w:szCs w:val="21"/>
          <w:highlight w:val="none"/>
        </w:rPr>
        <w:t>响应文件的签署及规定</w:t>
      </w:r>
      <w:bookmarkEnd w:id="89"/>
      <w:bookmarkEnd w:id="90"/>
      <w:bookmarkEnd w:id="91"/>
      <w:bookmarkEnd w:id="92"/>
    </w:p>
    <w:p w14:paraId="5C772EB6">
      <w:pPr>
        <w:widowControl/>
        <w:spacing w:line="360" w:lineRule="auto"/>
        <w:ind w:firstLine="525" w:firstLineChars="250"/>
        <w:jc w:val="left"/>
        <w:rPr>
          <w:rFonts w:hint="eastAsia" w:ascii="宋体" w:hAnsi="宋体" w:cs="宋体"/>
          <w:szCs w:val="21"/>
          <w:highlight w:val="none"/>
        </w:rPr>
      </w:pPr>
      <w:r>
        <w:rPr>
          <w:rFonts w:hint="eastAsia" w:ascii="宋体" w:hAnsi="宋体" w:cs="宋体"/>
          <w:szCs w:val="21"/>
          <w:highlight w:val="none"/>
        </w:rPr>
        <w:t>16.1响应文件应按“采购需求”和“响应文件格式”如实编写，未尽事宜可自行补充。响应文件内容不完整、格式不符合导致响应文件被误读、漏读或者查找不到相关内容的，供应商自行承担由此产生的风险。</w:t>
      </w:r>
    </w:p>
    <w:p w14:paraId="6347E1B8">
      <w:pPr>
        <w:spacing w:line="360" w:lineRule="auto"/>
        <w:ind w:firstLine="630" w:firstLineChars="300"/>
        <w:rPr>
          <w:rFonts w:hint="eastAsia" w:ascii="宋体" w:hAnsi="宋体" w:cs="宋体"/>
          <w:szCs w:val="21"/>
          <w:highlight w:val="none"/>
        </w:rPr>
      </w:pPr>
      <w:r>
        <w:rPr>
          <w:rFonts w:hint="eastAsia" w:ascii="宋体" w:hAnsi="宋体" w:cs="宋体"/>
          <w:szCs w:val="21"/>
          <w:highlight w:val="none"/>
        </w:rPr>
        <w:t>16.2 响应文件正本和所有副本必须按照采购文件规定格式加盖供应商公章并由其法定代表人或其授权代表签字或盖章。</w:t>
      </w:r>
    </w:p>
    <w:p w14:paraId="57AB355F">
      <w:pPr>
        <w:numPr>
          <w:ilvl w:val="0"/>
          <w:numId w:val="2"/>
        </w:numPr>
        <w:jc w:val="center"/>
        <w:outlineLvl w:val="1"/>
        <w:rPr>
          <w:rFonts w:hint="eastAsia" w:ascii="宋体" w:hAnsi="宋体" w:cs="宋体"/>
          <w:b/>
          <w:bCs/>
          <w:sz w:val="24"/>
          <w:szCs w:val="24"/>
          <w:highlight w:val="none"/>
        </w:rPr>
      </w:pPr>
      <w:bookmarkStart w:id="93" w:name="_Toc23871"/>
      <w:bookmarkStart w:id="94" w:name="_Toc16880"/>
      <w:bookmarkStart w:id="95" w:name="_Toc511"/>
      <w:bookmarkStart w:id="96" w:name="_Toc14555"/>
      <w:r>
        <w:rPr>
          <w:rFonts w:hint="eastAsia" w:ascii="宋体" w:hAnsi="宋体" w:cs="宋体"/>
          <w:b/>
          <w:bCs/>
          <w:sz w:val="24"/>
          <w:szCs w:val="24"/>
          <w:highlight w:val="none"/>
        </w:rPr>
        <w:t>响应文件的密封和递交</w:t>
      </w:r>
      <w:bookmarkEnd w:id="93"/>
      <w:bookmarkEnd w:id="94"/>
      <w:bookmarkEnd w:id="95"/>
      <w:bookmarkEnd w:id="96"/>
    </w:p>
    <w:p w14:paraId="5E2B5C12">
      <w:pPr>
        <w:keepNext/>
        <w:keepLines/>
        <w:rPr>
          <w:rFonts w:hint="eastAsia" w:ascii="宋体" w:hAnsi="宋体" w:cs="宋体"/>
          <w:szCs w:val="21"/>
          <w:highlight w:val="none"/>
        </w:rPr>
      </w:pPr>
      <w:bookmarkStart w:id="97" w:name="_Toc80608380"/>
      <w:bookmarkStart w:id="98" w:name="_Toc285967221"/>
      <w:bookmarkStart w:id="99" w:name="_Toc285966811"/>
      <w:bookmarkStart w:id="100" w:name="_Toc120590901"/>
      <w:bookmarkStart w:id="101" w:name="_Toc86715140"/>
      <w:bookmarkStart w:id="102" w:name="_Toc150267436"/>
      <w:bookmarkStart w:id="103" w:name="_Toc121206458"/>
      <w:bookmarkStart w:id="104" w:name="_Toc285231790"/>
      <w:bookmarkStart w:id="105" w:name="_Toc285966189"/>
      <w:bookmarkStart w:id="106" w:name="_Toc69117363"/>
      <w:bookmarkStart w:id="107" w:name="_Toc168213125"/>
      <w:bookmarkStart w:id="108" w:name="_Toc171675987"/>
      <w:bookmarkStart w:id="109" w:name="_Toc285232220"/>
      <w:bookmarkStart w:id="110" w:name="_Toc285232004"/>
      <w:bookmarkStart w:id="111" w:name="_Toc82405943"/>
      <w:bookmarkStart w:id="112" w:name="_Toc157233245"/>
      <w:bookmarkStart w:id="113" w:name="_Toc167500783"/>
      <w:bookmarkStart w:id="114" w:name="_Toc82404722"/>
      <w:bookmarkStart w:id="115" w:name="_Toc121135632"/>
      <w:bookmarkStart w:id="116" w:name="_Toc174873060"/>
      <w:bookmarkStart w:id="117" w:name="_Toc86631424"/>
      <w:bookmarkStart w:id="118" w:name="_Toc35662909"/>
      <w:bookmarkStart w:id="119" w:name="_Toc115157669"/>
      <w:bookmarkStart w:id="120" w:name="_Toc285965738"/>
      <w:bookmarkStart w:id="121" w:name="_Toc33679414"/>
      <w:bookmarkStart w:id="122" w:name="_Toc46227463"/>
      <w:bookmarkStart w:id="123" w:name="_Toc115157189"/>
      <w:bookmarkStart w:id="124" w:name="_Toc135561664"/>
      <w:bookmarkStart w:id="125" w:name="_Toc168213351"/>
      <w:bookmarkStart w:id="126" w:name="_Toc81119124"/>
      <w:bookmarkStart w:id="127" w:name="_Toc120243550"/>
      <w:bookmarkStart w:id="128" w:name="_Toc86715289"/>
      <w:bookmarkStart w:id="129" w:name="_Toc454541002"/>
      <w:bookmarkStart w:id="130" w:name="_Toc200790207"/>
      <w:bookmarkStart w:id="131" w:name="_Toc172459697"/>
      <w:bookmarkStart w:id="132" w:name="_Toc82405304"/>
      <w:bookmarkStart w:id="133" w:name="_Toc41287907"/>
      <w:bookmarkStart w:id="134" w:name="_Toc285965897"/>
      <w:bookmarkStart w:id="135" w:name="_Toc120002546"/>
      <w:bookmarkStart w:id="136" w:name="_Toc157511454"/>
      <w:bookmarkStart w:id="137" w:name="_Toc33510803"/>
      <w:bookmarkStart w:id="138" w:name="_Toc34732924"/>
      <w:bookmarkStart w:id="139" w:name="_Toc41102990"/>
      <w:bookmarkStart w:id="140" w:name="_Toc86715736"/>
      <w:bookmarkStart w:id="141" w:name="_Toc34708573"/>
      <w:bookmarkStart w:id="142" w:name="_Toc170035698"/>
      <w:bookmarkStart w:id="143" w:name="_Toc121134568"/>
      <w:bookmarkStart w:id="144" w:name="_Toc285966503"/>
      <w:bookmarkStart w:id="145" w:name="_Toc82405620"/>
      <w:bookmarkStart w:id="146" w:name="_Toc41103232"/>
      <w:bookmarkStart w:id="147" w:name="_Toc285965446"/>
      <w:bookmarkStart w:id="148" w:name="_Toc20957"/>
      <w:bookmarkStart w:id="149" w:name="_Toc82405785"/>
      <w:bookmarkStart w:id="150" w:name="_Toc150596765"/>
      <w:bookmarkStart w:id="151" w:name="_Toc168222710"/>
      <w:bookmarkStart w:id="152" w:name="_Toc285965581"/>
      <w:bookmarkStart w:id="153" w:name="_Toc174872745"/>
      <w:bookmarkStart w:id="154" w:name="_Toc170037286"/>
      <w:bookmarkStart w:id="155" w:name="_Toc34734817"/>
      <w:bookmarkStart w:id="156" w:name="_Toc120002742"/>
      <w:bookmarkStart w:id="157" w:name="_Toc200360020"/>
      <w:bookmarkStart w:id="158" w:name="_Toc86660613"/>
      <w:bookmarkStart w:id="159" w:name="_Toc86715586"/>
      <w:bookmarkStart w:id="160" w:name="_Toc69099580"/>
      <w:bookmarkStart w:id="161" w:name="_Toc135556881"/>
      <w:bookmarkStart w:id="162" w:name="_Toc82406102"/>
      <w:bookmarkStart w:id="163" w:name="_Toc150596274"/>
      <w:bookmarkStart w:id="164" w:name="_Toc285966638"/>
      <w:bookmarkStart w:id="165" w:name="_Toc86661970"/>
      <w:bookmarkStart w:id="166" w:name="_Toc115158299"/>
      <w:bookmarkStart w:id="167" w:name="_Toc45445326"/>
      <w:bookmarkStart w:id="168" w:name="_Toc86661674"/>
      <w:bookmarkStart w:id="169" w:name="_Toc81119458"/>
      <w:bookmarkStart w:id="170" w:name="_Toc69099419"/>
      <w:bookmarkStart w:id="171" w:name="_Toc86662118"/>
      <w:bookmarkStart w:id="172" w:name="_Toc285967393"/>
      <w:bookmarkStart w:id="173" w:name="_Toc138496590"/>
      <w:bookmarkStart w:id="174" w:name="_Toc115158427"/>
      <w:bookmarkStart w:id="175" w:name="_Toc120858081"/>
      <w:bookmarkStart w:id="176" w:name="_Toc115157796"/>
      <w:bookmarkStart w:id="177" w:name="_Toc34735259"/>
    </w:p>
    <w:p w14:paraId="40780138">
      <w:pPr>
        <w:pStyle w:val="4"/>
        <w:numPr>
          <w:ilvl w:val="0"/>
          <w:numId w:val="3"/>
        </w:numPr>
        <w:tabs>
          <w:tab w:val="left" w:pos="448"/>
          <w:tab w:val="left" w:pos="485"/>
          <w:tab w:val="left" w:pos="585"/>
          <w:tab w:val="left" w:pos="598"/>
        </w:tabs>
        <w:rPr>
          <w:rFonts w:hint="eastAsia" w:ascii="宋体" w:hAnsi="宋体" w:cs="宋体"/>
          <w:sz w:val="21"/>
          <w:szCs w:val="21"/>
          <w:highlight w:val="none"/>
        </w:rPr>
      </w:pPr>
      <w:bookmarkStart w:id="178" w:name="_Toc9603"/>
      <w:bookmarkStart w:id="179" w:name="_Toc7623"/>
      <w:bookmarkStart w:id="180" w:name="_Toc19763"/>
      <w:bookmarkStart w:id="181" w:name="_Toc21440"/>
      <w:r>
        <w:rPr>
          <w:rFonts w:hint="eastAsia" w:ascii="宋体" w:hAnsi="宋体" w:cs="宋体"/>
          <w:sz w:val="21"/>
          <w:szCs w:val="21"/>
          <w:highlight w:val="none"/>
        </w:rPr>
        <w:t>响应文件的密封</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56D3A3A6">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17.1供应商须将响应文件正本、响应文件所有副本和响应文件u盘密封在同一个包封中。</w:t>
      </w:r>
    </w:p>
    <w:p w14:paraId="1039FD23">
      <w:pPr>
        <w:pStyle w:val="12"/>
        <w:ind w:firstLine="420" w:firstLineChars="200"/>
        <w:rPr>
          <w:rFonts w:hint="eastAsia" w:ascii="宋体" w:hAnsi="宋体" w:cs="宋体"/>
          <w:szCs w:val="21"/>
          <w:highlight w:val="none"/>
        </w:rPr>
      </w:pPr>
      <w:r>
        <w:rPr>
          <w:rFonts w:hint="eastAsia" w:ascii="宋体" w:hAnsi="宋体" w:cs="宋体"/>
          <w:szCs w:val="21"/>
          <w:highlight w:val="none"/>
        </w:rPr>
        <w:t>17.2供应商应在密封包封上注明项目名称、项目编号、供应商名称，并在每个密封包封上注明“响应文件正式开启之前不准启封”的字样。</w:t>
      </w:r>
    </w:p>
    <w:p w14:paraId="1BB0D56C">
      <w:pPr>
        <w:pStyle w:val="12"/>
        <w:ind w:firstLine="420" w:firstLineChars="200"/>
        <w:rPr>
          <w:rFonts w:hint="eastAsia" w:ascii="宋体" w:hAnsi="宋体" w:cs="宋体"/>
          <w:szCs w:val="21"/>
          <w:highlight w:val="none"/>
        </w:rPr>
      </w:pPr>
    </w:p>
    <w:p w14:paraId="69F8626E">
      <w:pPr>
        <w:pStyle w:val="12"/>
        <w:ind w:firstLine="420" w:firstLineChars="200"/>
        <w:rPr>
          <w:rFonts w:hint="eastAsia" w:ascii="宋体" w:hAnsi="宋体" w:cs="宋体"/>
          <w:szCs w:val="21"/>
          <w:highlight w:val="none"/>
        </w:rPr>
      </w:pPr>
    </w:p>
    <w:p w14:paraId="78E4F9C3">
      <w:pPr>
        <w:rPr>
          <w:rFonts w:hint="eastAsia" w:ascii="宋体" w:hAnsi="宋体" w:cs="宋体"/>
          <w:szCs w:val="21"/>
          <w:highlight w:val="none"/>
        </w:rPr>
      </w:pPr>
    </w:p>
    <w:tbl>
      <w:tblPr>
        <w:tblStyle w:val="33"/>
        <w:tblW w:w="6115" w:type="dxa"/>
        <w:jc w:val="center"/>
        <w:tblLayout w:type="fixed"/>
        <w:tblCellMar>
          <w:top w:w="0" w:type="dxa"/>
          <w:left w:w="108" w:type="dxa"/>
          <w:bottom w:w="0" w:type="dxa"/>
          <w:right w:w="108" w:type="dxa"/>
        </w:tblCellMar>
      </w:tblPr>
      <w:tblGrid>
        <w:gridCol w:w="6115"/>
      </w:tblGrid>
      <w:tr w14:paraId="7C27315C">
        <w:tblPrEx>
          <w:tblCellMar>
            <w:top w:w="0" w:type="dxa"/>
            <w:left w:w="108" w:type="dxa"/>
            <w:bottom w:w="0" w:type="dxa"/>
            <w:right w:w="108" w:type="dxa"/>
          </w:tblCellMar>
        </w:tblPrEx>
        <w:trPr>
          <w:trHeight w:val="284" w:hRule="exact"/>
          <w:jc w:val="center"/>
        </w:trPr>
        <w:tc>
          <w:tcPr>
            <w:tcW w:w="6115" w:type="dxa"/>
            <w:tcBorders>
              <w:top w:val="single" w:color="auto" w:sz="8" w:space="0"/>
              <w:left w:val="single" w:color="auto" w:sz="8" w:space="0"/>
              <w:bottom w:val="single" w:color="auto" w:sz="4" w:space="0"/>
              <w:right w:val="single" w:color="000000" w:sz="8" w:space="0"/>
            </w:tcBorders>
            <w:vAlign w:val="center"/>
          </w:tcPr>
          <w:p w14:paraId="034EABF3">
            <w:pPr>
              <w:pStyle w:val="57"/>
              <w:adjustRightInd w:val="0"/>
              <w:snapToGrid w:val="0"/>
              <w:spacing w:line="360" w:lineRule="auto"/>
              <w:ind w:left="0" w:left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密封</w:t>
            </w:r>
          </w:p>
        </w:tc>
      </w:tr>
      <w:tr w14:paraId="67ADF51B">
        <w:tblPrEx>
          <w:tblCellMar>
            <w:top w:w="0" w:type="dxa"/>
            <w:left w:w="108" w:type="dxa"/>
            <w:bottom w:w="0" w:type="dxa"/>
            <w:right w:w="108" w:type="dxa"/>
          </w:tblCellMar>
        </w:tblPrEx>
        <w:trPr>
          <w:trHeight w:val="929" w:hRule="atLeast"/>
          <w:jc w:val="center"/>
        </w:trPr>
        <w:tc>
          <w:tcPr>
            <w:tcW w:w="6115" w:type="dxa"/>
            <w:tcBorders>
              <w:top w:val="single" w:color="auto" w:sz="4" w:space="0"/>
              <w:left w:val="single" w:color="auto" w:sz="4" w:space="0"/>
              <w:bottom w:val="single" w:color="auto" w:sz="4" w:space="0"/>
              <w:right w:val="single" w:color="auto" w:sz="4" w:space="0"/>
            </w:tcBorders>
            <w:vAlign w:val="center"/>
          </w:tcPr>
          <w:p w14:paraId="069D9D73">
            <w:pPr>
              <w:pStyle w:val="57"/>
              <w:adjustRightInd w:val="0"/>
              <w:snapToGrid w:val="0"/>
              <w:spacing w:line="360" w:lineRule="auto"/>
              <w:ind w:left="0" w:leftChars="0"/>
              <w:rPr>
                <w:rFonts w:hint="eastAsia" w:ascii="宋体" w:eastAsia="宋体" w:cs="宋体"/>
                <w:color w:val="auto"/>
                <w:sz w:val="21"/>
                <w:szCs w:val="21"/>
                <w:highlight w:val="none"/>
              </w:rPr>
            </w:pPr>
            <w:r>
              <w:rPr>
                <w:rFonts w:hint="eastAsia" w:ascii="宋体" w:eastAsia="宋体" w:cs="宋体"/>
                <w:color w:val="auto"/>
                <w:sz w:val="21"/>
                <w:szCs w:val="21"/>
                <w:highlight w:val="none"/>
              </w:rPr>
              <w:t>响应文件正本、响应文件所有副本、响应文件u盘</w:t>
            </w:r>
          </w:p>
        </w:tc>
      </w:tr>
    </w:tbl>
    <w:p w14:paraId="17A0ECB8">
      <w:pPr>
        <w:widowControl/>
        <w:spacing w:line="360" w:lineRule="auto"/>
        <w:jc w:val="left"/>
        <w:rPr>
          <w:rFonts w:hint="eastAsia" w:ascii="宋体" w:hAnsi="宋体" w:cs="宋体"/>
          <w:szCs w:val="21"/>
          <w:highlight w:val="none"/>
        </w:rPr>
      </w:pPr>
    </w:p>
    <w:p w14:paraId="13A61581">
      <w:pPr>
        <w:pStyle w:val="4"/>
        <w:numPr>
          <w:ilvl w:val="0"/>
          <w:numId w:val="3"/>
        </w:numPr>
        <w:tabs>
          <w:tab w:val="left" w:pos="410"/>
          <w:tab w:val="left" w:pos="498"/>
          <w:tab w:val="left" w:pos="623"/>
        </w:tabs>
        <w:rPr>
          <w:rFonts w:hint="eastAsia" w:ascii="宋体" w:hAnsi="宋体" w:cs="宋体"/>
          <w:sz w:val="21"/>
          <w:szCs w:val="21"/>
          <w:highlight w:val="none"/>
        </w:rPr>
      </w:pPr>
      <w:bookmarkStart w:id="182" w:name="_Toc16245"/>
      <w:bookmarkStart w:id="183" w:name="_Toc1047"/>
      <w:bookmarkStart w:id="184" w:name="_Toc21607"/>
      <w:bookmarkStart w:id="185" w:name="_Toc8006"/>
      <w:r>
        <w:rPr>
          <w:rFonts w:hint="eastAsia" w:ascii="宋体" w:hAnsi="宋体" w:cs="宋体"/>
          <w:sz w:val="21"/>
          <w:szCs w:val="21"/>
          <w:highlight w:val="none"/>
        </w:rPr>
        <w:t>响应文件的递交</w:t>
      </w:r>
      <w:bookmarkEnd w:id="182"/>
      <w:bookmarkEnd w:id="183"/>
      <w:bookmarkEnd w:id="184"/>
      <w:bookmarkEnd w:id="185"/>
    </w:p>
    <w:p w14:paraId="6593B45A">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18.1供应商应在采购文件规定的递交响应文件截止时间前，将响应文件送达指定地点。递交响应文件的供应商应填写登记表，留存相关信息。</w:t>
      </w:r>
    </w:p>
    <w:p w14:paraId="6E7ACD44">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18.2 出现因采购文件的修改推迟递交响应文件截止时间时，则按采购人或采购代理机构修改通知规定的时间递交。在此情况下，采购代理机构和采购人受递交响应文件截止时间制约的所有权利和义务均相应延长至新的截止时间。</w:t>
      </w:r>
      <w:bookmarkStart w:id="186" w:name="_Toc41103234"/>
      <w:bookmarkStart w:id="187" w:name="_Toc285966640"/>
      <w:bookmarkStart w:id="188" w:name="_Toc285965899"/>
      <w:bookmarkStart w:id="189" w:name="_Toc115158301"/>
      <w:bookmarkStart w:id="190" w:name="_Toc34734819"/>
      <w:bookmarkStart w:id="191" w:name="_Toc86662120"/>
      <w:bookmarkStart w:id="192" w:name="_Toc86715738"/>
      <w:bookmarkStart w:id="193" w:name="_Toc80608382"/>
      <w:bookmarkStart w:id="194" w:name="_Toc120002744"/>
      <w:bookmarkStart w:id="195" w:name="_Toc285232222"/>
      <w:bookmarkStart w:id="196" w:name="_Toc82405787"/>
      <w:bookmarkStart w:id="197" w:name="_Toc285965740"/>
      <w:bookmarkStart w:id="198" w:name="_Toc285965448"/>
      <w:bookmarkStart w:id="199" w:name="_Toc120590903"/>
      <w:bookmarkStart w:id="200" w:name="_Toc81119460"/>
      <w:bookmarkStart w:id="201" w:name="_Toc121135634"/>
      <w:bookmarkStart w:id="202" w:name="_Toc82406104"/>
      <w:bookmarkStart w:id="203" w:name="_Toc172459699"/>
      <w:bookmarkStart w:id="204" w:name="_Toc69099421"/>
      <w:bookmarkStart w:id="205" w:name="_Toc200790209"/>
      <w:bookmarkStart w:id="206" w:name="_Toc167500785"/>
      <w:bookmarkStart w:id="207" w:name="_Toc81119126"/>
      <w:bookmarkStart w:id="208" w:name="_Toc35662911"/>
      <w:bookmarkStart w:id="209" w:name="_Toc86660615"/>
      <w:bookmarkStart w:id="210" w:name="_Toc285967395"/>
      <w:bookmarkStart w:id="211" w:name="_Toc168213127"/>
      <w:bookmarkStart w:id="212" w:name="_Toc45445328"/>
      <w:bookmarkStart w:id="213" w:name="_Toc168213353"/>
      <w:bookmarkStart w:id="214" w:name="_Toc86715588"/>
      <w:bookmarkStart w:id="215" w:name="_Toc121134570"/>
      <w:bookmarkStart w:id="216" w:name="_Toc86715142"/>
      <w:bookmarkStart w:id="217" w:name="_Toc285232006"/>
      <w:bookmarkStart w:id="218" w:name="_Toc46227465"/>
      <w:bookmarkStart w:id="219" w:name="_Toc115157798"/>
      <w:bookmarkStart w:id="220" w:name="_Toc41287909"/>
      <w:bookmarkStart w:id="221" w:name="_Toc82405622"/>
      <w:bookmarkStart w:id="222" w:name="_Toc200360022"/>
      <w:bookmarkStart w:id="223" w:name="_Toc285966813"/>
      <w:bookmarkStart w:id="224" w:name="_Toc157233247"/>
      <w:bookmarkStart w:id="225" w:name="_Toc34735261"/>
      <w:bookmarkStart w:id="226" w:name="_Toc157511456"/>
      <w:bookmarkStart w:id="227" w:name="_Toc115158429"/>
      <w:bookmarkStart w:id="228" w:name="_Toc69099582"/>
      <w:bookmarkStart w:id="229" w:name="_Toc121206460"/>
      <w:bookmarkStart w:id="230" w:name="_Toc135556883"/>
      <w:bookmarkStart w:id="231" w:name="_Toc168222712"/>
      <w:bookmarkStart w:id="232" w:name="_Toc285966505"/>
      <w:bookmarkStart w:id="233" w:name="_Toc170037288"/>
      <w:bookmarkStart w:id="234" w:name="_Toc86661676"/>
      <w:bookmarkStart w:id="235" w:name="_Toc170035700"/>
      <w:bookmarkStart w:id="236" w:name="_Toc34708575"/>
      <w:bookmarkStart w:id="237" w:name="_Toc120002548"/>
      <w:bookmarkStart w:id="238" w:name="_Toc86715291"/>
      <w:bookmarkStart w:id="239" w:name="_Toc33679416"/>
      <w:bookmarkStart w:id="240" w:name="_Toc82405945"/>
      <w:bookmarkStart w:id="241" w:name="_Toc41102992"/>
      <w:bookmarkStart w:id="242" w:name="_Toc34732926"/>
      <w:bookmarkStart w:id="243" w:name="_Toc115157191"/>
      <w:bookmarkStart w:id="244" w:name="_Toc120243552"/>
      <w:bookmarkStart w:id="245" w:name="_Toc150596276"/>
      <w:bookmarkStart w:id="246" w:name="_Toc285965583"/>
      <w:bookmarkStart w:id="247" w:name="_Toc174873062"/>
      <w:bookmarkStart w:id="248" w:name="_Toc150267438"/>
      <w:bookmarkStart w:id="249" w:name="_Toc115157671"/>
      <w:bookmarkStart w:id="250" w:name="_Toc33510805"/>
      <w:bookmarkStart w:id="251" w:name="_Toc19885"/>
      <w:bookmarkStart w:id="252" w:name="_Toc454541004"/>
      <w:bookmarkStart w:id="253" w:name="_Toc69117365"/>
      <w:bookmarkStart w:id="254" w:name="_Toc174872747"/>
      <w:bookmarkStart w:id="255" w:name="_Toc82405306"/>
      <w:bookmarkStart w:id="256" w:name="_Toc135561666"/>
      <w:bookmarkStart w:id="257" w:name="_Toc82404724"/>
      <w:bookmarkStart w:id="258" w:name="_Toc150596767"/>
      <w:bookmarkStart w:id="259" w:name="_Toc86661972"/>
      <w:bookmarkStart w:id="260" w:name="_Toc285967223"/>
      <w:bookmarkStart w:id="261" w:name="_Toc285231792"/>
      <w:bookmarkStart w:id="262" w:name="_Toc86631426"/>
      <w:bookmarkStart w:id="263" w:name="_Toc285966191"/>
      <w:bookmarkStart w:id="264" w:name="_Toc120858083"/>
      <w:bookmarkStart w:id="265" w:name="_Toc171675989"/>
      <w:bookmarkStart w:id="266" w:name="_Toc138496592"/>
    </w:p>
    <w:p w14:paraId="78218B1B">
      <w:pPr>
        <w:pStyle w:val="4"/>
        <w:numPr>
          <w:ilvl w:val="0"/>
          <w:numId w:val="3"/>
        </w:numPr>
        <w:tabs>
          <w:tab w:val="left" w:pos="485"/>
        </w:tabs>
        <w:rPr>
          <w:rFonts w:hint="eastAsia" w:ascii="宋体" w:hAnsi="宋体" w:cs="宋体"/>
          <w:sz w:val="21"/>
          <w:szCs w:val="21"/>
          <w:highlight w:val="none"/>
        </w:rPr>
      </w:pPr>
      <w:bookmarkStart w:id="267" w:name="_Toc25093"/>
      <w:bookmarkStart w:id="268" w:name="_Toc22016"/>
      <w:bookmarkStart w:id="269" w:name="_Toc10138"/>
      <w:bookmarkStart w:id="270" w:name="_Toc30544"/>
      <w:r>
        <w:rPr>
          <w:rFonts w:hint="eastAsia" w:ascii="宋体" w:hAnsi="宋体" w:cs="宋体"/>
          <w:sz w:val="21"/>
          <w:szCs w:val="21"/>
          <w:highlight w:val="none"/>
        </w:rPr>
        <w:t>迟交的响应文件</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39E2901B">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19.1采购人将拒绝在递交响应文件截止时间后递交的任何响应文件。</w:t>
      </w:r>
    </w:p>
    <w:p w14:paraId="43BF3B0B">
      <w:pPr>
        <w:pStyle w:val="4"/>
        <w:numPr>
          <w:ilvl w:val="0"/>
          <w:numId w:val="3"/>
        </w:numPr>
        <w:tabs>
          <w:tab w:val="left" w:pos="460"/>
        </w:tabs>
        <w:rPr>
          <w:rFonts w:hint="eastAsia" w:ascii="宋体" w:hAnsi="宋体" w:cs="宋体"/>
          <w:sz w:val="21"/>
          <w:szCs w:val="21"/>
          <w:highlight w:val="none"/>
        </w:rPr>
      </w:pPr>
      <w:bookmarkStart w:id="271" w:name="_Toc3676"/>
      <w:bookmarkStart w:id="272" w:name="_Toc21121"/>
      <w:bookmarkStart w:id="273" w:name="_Toc28525"/>
      <w:bookmarkStart w:id="274" w:name="_Toc5387"/>
      <w:r>
        <w:rPr>
          <w:rFonts w:hint="eastAsia" w:ascii="宋体" w:hAnsi="宋体" w:cs="宋体"/>
          <w:sz w:val="21"/>
          <w:szCs w:val="21"/>
          <w:highlight w:val="none"/>
        </w:rPr>
        <w:t>响应文件的修改和撤销</w:t>
      </w:r>
      <w:bookmarkEnd w:id="271"/>
      <w:bookmarkEnd w:id="272"/>
      <w:bookmarkEnd w:id="273"/>
      <w:bookmarkEnd w:id="274"/>
    </w:p>
    <w:p w14:paraId="1A48E9AB">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20.1在采购文件规定的递交响应文件截止时间前，供应商可修改、补充或撤回已经递交的响应文件。供应商修改、补充或撤回响应文件的，应在响应文件的修改、补充文件或者撤回响应文件的通知上按采购文件规定签字并盖章。采购人或采购代理机构收到供应商撤回响应文件通知并检查确认无误后，留存其撤回通知，退回其已经递交的响应文件。</w:t>
      </w:r>
    </w:p>
    <w:p w14:paraId="7A390256">
      <w:pPr>
        <w:numPr>
          <w:ilvl w:val="0"/>
          <w:numId w:val="2"/>
        </w:numPr>
        <w:jc w:val="center"/>
        <w:outlineLvl w:val="1"/>
        <w:rPr>
          <w:rFonts w:hint="eastAsia" w:ascii="宋体" w:hAnsi="宋体" w:cs="宋体"/>
          <w:b/>
          <w:bCs/>
          <w:sz w:val="24"/>
          <w:szCs w:val="24"/>
          <w:highlight w:val="none"/>
        </w:rPr>
      </w:pPr>
      <w:bookmarkStart w:id="275" w:name="_Toc7379"/>
      <w:bookmarkStart w:id="276" w:name="_Toc24138"/>
      <w:bookmarkStart w:id="277" w:name="_Toc12314"/>
      <w:bookmarkStart w:id="278" w:name="_Toc8146"/>
      <w:r>
        <w:rPr>
          <w:rFonts w:hint="eastAsia" w:ascii="宋体" w:hAnsi="宋体" w:cs="宋体"/>
          <w:b/>
          <w:bCs/>
          <w:sz w:val="24"/>
          <w:szCs w:val="24"/>
          <w:highlight w:val="none"/>
        </w:rPr>
        <w:t>接收响应文件</w:t>
      </w:r>
      <w:bookmarkEnd w:id="275"/>
      <w:bookmarkEnd w:id="276"/>
      <w:bookmarkEnd w:id="277"/>
      <w:bookmarkEnd w:id="278"/>
    </w:p>
    <w:p w14:paraId="781B8670">
      <w:pPr>
        <w:keepNext/>
        <w:keepLines/>
        <w:rPr>
          <w:rFonts w:hint="eastAsia" w:ascii="宋体" w:hAnsi="宋体" w:cs="宋体"/>
          <w:szCs w:val="21"/>
          <w:highlight w:val="none"/>
        </w:rPr>
      </w:pPr>
    </w:p>
    <w:p w14:paraId="530177CA">
      <w:pPr>
        <w:pStyle w:val="4"/>
        <w:numPr>
          <w:ilvl w:val="0"/>
          <w:numId w:val="3"/>
        </w:numPr>
        <w:tabs>
          <w:tab w:val="left" w:pos="410"/>
          <w:tab w:val="left" w:pos="460"/>
          <w:tab w:val="left" w:pos="523"/>
        </w:tabs>
        <w:rPr>
          <w:rFonts w:hint="eastAsia" w:ascii="宋体" w:hAnsi="宋体" w:cs="宋体"/>
          <w:sz w:val="21"/>
          <w:szCs w:val="21"/>
          <w:highlight w:val="none"/>
        </w:rPr>
      </w:pPr>
      <w:bookmarkStart w:id="279" w:name="_Toc11082"/>
      <w:bookmarkStart w:id="280" w:name="_Toc31869"/>
      <w:bookmarkStart w:id="281" w:name="_Toc23095"/>
      <w:bookmarkStart w:id="282" w:name="_Toc22714"/>
      <w:r>
        <w:rPr>
          <w:rFonts w:hint="eastAsia" w:ascii="宋体" w:hAnsi="宋体" w:cs="宋体"/>
          <w:sz w:val="21"/>
          <w:szCs w:val="21"/>
          <w:highlight w:val="none"/>
        </w:rPr>
        <w:t>接收响应文件</w:t>
      </w:r>
      <w:bookmarkEnd w:id="279"/>
      <w:bookmarkEnd w:id="280"/>
      <w:bookmarkEnd w:id="281"/>
      <w:bookmarkEnd w:id="282"/>
    </w:p>
    <w:p w14:paraId="7A5D5905">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21.1采购人或采购代理机构应安排专人在采购文件规定的时间和地点接收响应文件，记录响应文件送达时间以及其他情况，并检查各响应文件的密封情况并签收按照采购文件要求密封的响应文件，对未按照采购文件要求密封的响应文件予以拒收。</w:t>
      </w:r>
    </w:p>
    <w:p w14:paraId="6A2D1072">
      <w:pPr>
        <w:numPr>
          <w:ilvl w:val="0"/>
          <w:numId w:val="2"/>
        </w:numPr>
        <w:jc w:val="center"/>
        <w:outlineLvl w:val="1"/>
        <w:rPr>
          <w:rFonts w:hint="eastAsia" w:ascii="宋体" w:hAnsi="宋体" w:cs="宋体"/>
          <w:b/>
          <w:bCs/>
          <w:sz w:val="24"/>
          <w:szCs w:val="24"/>
          <w:highlight w:val="none"/>
        </w:rPr>
      </w:pPr>
      <w:bookmarkStart w:id="283" w:name="_Toc24256"/>
      <w:bookmarkStart w:id="284" w:name="_Toc5583"/>
      <w:bookmarkStart w:id="285" w:name="_Toc18906"/>
      <w:bookmarkStart w:id="286" w:name="_Toc20576"/>
      <w:r>
        <w:rPr>
          <w:rFonts w:hint="eastAsia" w:ascii="宋体" w:hAnsi="宋体" w:cs="宋体"/>
          <w:b/>
          <w:bCs/>
          <w:sz w:val="24"/>
          <w:szCs w:val="24"/>
          <w:highlight w:val="none"/>
        </w:rPr>
        <w:t>开启响应文件</w:t>
      </w:r>
      <w:bookmarkEnd w:id="283"/>
      <w:bookmarkEnd w:id="284"/>
      <w:bookmarkEnd w:id="285"/>
      <w:bookmarkEnd w:id="286"/>
    </w:p>
    <w:p w14:paraId="5DDCDA87">
      <w:pPr>
        <w:keepNext/>
        <w:keepLines/>
        <w:rPr>
          <w:rFonts w:hint="eastAsia" w:ascii="宋体" w:hAnsi="宋体" w:cs="宋体"/>
          <w:szCs w:val="21"/>
          <w:highlight w:val="none"/>
        </w:rPr>
      </w:pPr>
    </w:p>
    <w:p w14:paraId="7CB84335">
      <w:pPr>
        <w:pStyle w:val="4"/>
        <w:numPr>
          <w:ilvl w:val="0"/>
          <w:numId w:val="3"/>
        </w:numPr>
        <w:tabs>
          <w:tab w:val="left" w:pos="460"/>
        </w:tabs>
        <w:rPr>
          <w:rFonts w:hint="eastAsia" w:ascii="宋体" w:hAnsi="宋体" w:cs="宋体"/>
          <w:sz w:val="21"/>
          <w:szCs w:val="21"/>
          <w:highlight w:val="none"/>
        </w:rPr>
      </w:pPr>
      <w:bookmarkStart w:id="287" w:name="_Toc12974"/>
      <w:bookmarkStart w:id="288" w:name="_Toc15988"/>
      <w:bookmarkStart w:id="289" w:name="_Toc26543"/>
      <w:bookmarkStart w:id="290" w:name="_Toc32751"/>
      <w:r>
        <w:rPr>
          <w:rFonts w:hint="eastAsia" w:ascii="宋体" w:hAnsi="宋体" w:cs="宋体"/>
          <w:sz w:val="21"/>
          <w:szCs w:val="21"/>
          <w:highlight w:val="none"/>
        </w:rPr>
        <w:t>公开开启响应文件</w:t>
      </w:r>
      <w:bookmarkEnd w:id="287"/>
      <w:bookmarkEnd w:id="288"/>
      <w:bookmarkEnd w:id="289"/>
      <w:bookmarkEnd w:id="290"/>
    </w:p>
    <w:p w14:paraId="43F7441C">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22.1采购人或采购代理机构应在采购文件确定的提交响应文件截止时间的同一时间和按照采购文件规定的开启响应文件时间和地点公开开启响应文件。所有供应商的法定代表人或其授权代表参加，未派代表参加的供应商，视同认可开启会议结果。</w:t>
      </w:r>
    </w:p>
    <w:p w14:paraId="7FFCC9BF">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23.2响应文件开启会议由采购人或采购代理机构工作人员主持。开启程序如下：</w:t>
      </w:r>
    </w:p>
    <w:p w14:paraId="1FD4B3F4">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（1）宣布开启会议纪律；</w:t>
      </w:r>
    </w:p>
    <w:p w14:paraId="3E084C04">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（2）宣布参加开启会议的工作人员；</w:t>
      </w:r>
    </w:p>
    <w:p w14:paraId="5F590E04">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（3）供应商代表检査确认各自响应文件的密封情况；</w:t>
      </w:r>
    </w:p>
    <w:p w14:paraId="767BA41D">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（4）工作人员按约定顺序开启响应文件，并宣读供应商名称以及响应报价等响应文件的其他主要内容，供应商代表当场确认，并记录在案；</w:t>
      </w:r>
    </w:p>
    <w:p w14:paraId="0053E5A0">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（5）供应商代表及相关工作人员等在响应文件开启记录上签字确认；</w:t>
      </w:r>
    </w:p>
    <w:p w14:paraId="2D9CCC9F">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（6）宣布有关注意事项；</w:t>
      </w:r>
    </w:p>
    <w:p w14:paraId="7362AAA7">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（7）开启会议结束。</w:t>
      </w:r>
    </w:p>
    <w:p w14:paraId="2B39CE6B">
      <w:pPr>
        <w:numPr>
          <w:ilvl w:val="0"/>
          <w:numId w:val="2"/>
        </w:numPr>
        <w:jc w:val="center"/>
        <w:outlineLvl w:val="1"/>
        <w:rPr>
          <w:rFonts w:hint="eastAsia" w:ascii="宋体" w:hAnsi="宋体" w:cs="宋体"/>
          <w:b/>
          <w:bCs/>
          <w:sz w:val="24"/>
          <w:szCs w:val="24"/>
          <w:highlight w:val="none"/>
        </w:rPr>
      </w:pPr>
      <w:bookmarkStart w:id="291" w:name="_Toc23429"/>
      <w:bookmarkStart w:id="292" w:name="_Toc2960"/>
      <w:bookmarkStart w:id="293" w:name="_Toc23605"/>
      <w:bookmarkStart w:id="294" w:name="_Toc22173"/>
      <w:r>
        <w:rPr>
          <w:rFonts w:hint="eastAsia" w:ascii="宋体" w:hAnsi="宋体" w:cs="宋体"/>
          <w:b/>
          <w:bCs/>
          <w:sz w:val="24"/>
          <w:szCs w:val="24"/>
          <w:highlight w:val="none"/>
        </w:rPr>
        <w:t>组织评审</w:t>
      </w:r>
      <w:bookmarkEnd w:id="291"/>
      <w:bookmarkEnd w:id="292"/>
      <w:bookmarkEnd w:id="293"/>
      <w:bookmarkEnd w:id="294"/>
    </w:p>
    <w:p w14:paraId="63B09B30">
      <w:pPr>
        <w:pStyle w:val="4"/>
        <w:numPr>
          <w:ilvl w:val="0"/>
          <w:numId w:val="3"/>
        </w:numPr>
        <w:tabs>
          <w:tab w:val="left" w:pos="473"/>
          <w:tab w:val="left" w:pos="548"/>
          <w:tab w:val="left" w:pos="748"/>
        </w:tabs>
        <w:rPr>
          <w:rFonts w:hint="eastAsia" w:ascii="宋体" w:hAnsi="宋体" w:cs="宋体"/>
          <w:sz w:val="21"/>
          <w:szCs w:val="21"/>
          <w:highlight w:val="none"/>
        </w:rPr>
      </w:pPr>
      <w:bookmarkStart w:id="295" w:name="_Toc30004"/>
      <w:bookmarkStart w:id="296" w:name="_Toc20953"/>
      <w:bookmarkStart w:id="297" w:name="_Toc14284"/>
      <w:bookmarkStart w:id="298" w:name="_Toc1525"/>
      <w:r>
        <w:rPr>
          <w:rFonts w:hint="eastAsia" w:ascii="宋体" w:hAnsi="宋体" w:cs="宋体"/>
          <w:sz w:val="21"/>
          <w:szCs w:val="21"/>
          <w:highlight w:val="none"/>
        </w:rPr>
        <w:t>评审小组</w:t>
      </w:r>
      <w:bookmarkEnd w:id="295"/>
      <w:bookmarkEnd w:id="296"/>
      <w:bookmarkEnd w:id="297"/>
      <w:bookmarkEnd w:id="298"/>
    </w:p>
    <w:p w14:paraId="093E62BF">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23.1 评审小组由三人以上单数组成，由采购人代表等成员组成。</w:t>
      </w:r>
    </w:p>
    <w:p w14:paraId="395EF8DA">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23.2 评审</w:t>
      </w:r>
      <w:r>
        <w:rPr>
          <w:rFonts w:hint="eastAsia" w:ascii="宋体" w:hAnsi="宋体" w:cs="宋体"/>
          <w:bCs/>
          <w:szCs w:val="21"/>
          <w:highlight w:val="none"/>
        </w:rPr>
        <w:t>工作由评审小组负责。</w:t>
      </w:r>
      <w:r>
        <w:rPr>
          <w:rFonts w:hint="eastAsia" w:ascii="宋体" w:hAnsi="宋体" w:cs="宋体"/>
          <w:szCs w:val="21"/>
          <w:highlight w:val="none"/>
        </w:rPr>
        <w:t xml:space="preserve"> 评审小组负责完成全部评审过程，向采购人出具经所有评审小组成员签字的书面评审小组意见。</w:t>
      </w:r>
    </w:p>
    <w:p w14:paraId="0B7D9745">
      <w:pPr>
        <w:pStyle w:val="4"/>
        <w:numPr>
          <w:ilvl w:val="0"/>
          <w:numId w:val="3"/>
        </w:numPr>
        <w:tabs>
          <w:tab w:val="left" w:pos="410"/>
          <w:tab w:val="left" w:pos="485"/>
        </w:tabs>
        <w:rPr>
          <w:rFonts w:hint="eastAsia" w:ascii="宋体" w:hAnsi="宋体" w:cs="宋体"/>
          <w:sz w:val="21"/>
          <w:szCs w:val="21"/>
          <w:highlight w:val="none"/>
        </w:rPr>
      </w:pPr>
      <w:bookmarkStart w:id="299" w:name="_Toc28936"/>
      <w:bookmarkStart w:id="300" w:name="_Toc13238"/>
      <w:bookmarkStart w:id="301" w:name="_Toc14942"/>
      <w:bookmarkStart w:id="302" w:name="_Toc14191"/>
      <w:r>
        <w:rPr>
          <w:rFonts w:hint="eastAsia" w:ascii="宋体" w:hAnsi="宋体" w:cs="宋体"/>
          <w:sz w:val="21"/>
          <w:szCs w:val="21"/>
          <w:highlight w:val="none"/>
        </w:rPr>
        <w:t>评审程序</w:t>
      </w:r>
      <w:bookmarkEnd w:id="299"/>
      <w:bookmarkEnd w:id="300"/>
      <w:bookmarkEnd w:id="301"/>
      <w:bookmarkEnd w:id="302"/>
    </w:p>
    <w:p w14:paraId="6C20DDE6">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详见“第三章 评审办法”。</w:t>
      </w:r>
    </w:p>
    <w:p w14:paraId="43EDA45C">
      <w:pPr>
        <w:pStyle w:val="4"/>
        <w:numPr>
          <w:ilvl w:val="0"/>
          <w:numId w:val="3"/>
        </w:numPr>
        <w:tabs>
          <w:tab w:val="left" w:pos="485"/>
        </w:tabs>
        <w:rPr>
          <w:rFonts w:hint="eastAsia" w:ascii="宋体" w:hAnsi="宋体" w:cs="宋体"/>
          <w:sz w:val="21"/>
          <w:szCs w:val="21"/>
          <w:highlight w:val="none"/>
        </w:rPr>
      </w:pPr>
      <w:bookmarkStart w:id="303" w:name="_Toc14706"/>
      <w:bookmarkStart w:id="304" w:name="_Toc27029"/>
      <w:bookmarkStart w:id="305" w:name="_Toc11876"/>
      <w:bookmarkStart w:id="306" w:name="_Toc11"/>
      <w:r>
        <w:rPr>
          <w:rFonts w:hint="eastAsia" w:ascii="宋体" w:hAnsi="宋体" w:cs="宋体"/>
          <w:sz w:val="21"/>
          <w:szCs w:val="21"/>
          <w:highlight w:val="none"/>
        </w:rPr>
        <w:t>评审采用的标准和方法</w:t>
      </w:r>
      <w:bookmarkEnd w:id="303"/>
      <w:bookmarkEnd w:id="304"/>
      <w:bookmarkEnd w:id="305"/>
      <w:bookmarkEnd w:id="306"/>
    </w:p>
    <w:p w14:paraId="0EC7352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详见“第三章 评审办法”。</w:t>
      </w:r>
    </w:p>
    <w:p w14:paraId="0B4F5AA3">
      <w:pPr>
        <w:pStyle w:val="4"/>
        <w:numPr>
          <w:ilvl w:val="0"/>
          <w:numId w:val="3"/>
        </w:numPr>
        <w:tabs>
          <w:tab w:val="left" w:pos="498"/>
        </w:tabs>
        <w:rPr>
          <w:rFonts w:hint="eastAsia" w:ascii="宋体" w:hAnsi="宋体" w:cs="宋体"/>
          <w:sz w:val="21"/>
          <w:szCs w:val="21"/>
          <w:highlight w:val="none"/>
        </w:rPr>
      </w:pPr>
      <w:bookmarkStart w:id="307" w:name="_Toc23865"/>
      <w:bookmarkStart w:id="308" w:name="_Toc10177"/>
      <w:bookmarkStart w:id="309" w:name="_Toc2865"/>
      <w:bookmarkStart w:id="310" w:name="_Toc2463"/>
      <w:r>
        <w:rPr>
          <w:rFonts w:hint="eastAsia" w:ascii="宋体" w:hAnsi="宋体" w:cs="宋体"/>
          <w:sz w:val="21"/>
          <w:szCs w:val="21"/>
          <w:highlight w:val="none"/>
        </w:rPr>
        <w:t>保密</w:t>
      </w:r>
      <w:bookmarkEnd w:id="307"/>
      <w:bookmarkEnd w:id="308"/>
      <w:bookmarkEnd w:id="309"/>
      <w:bookmarkEnd w:id="310"/>
    </w:p>
    <w:p w14:paraId="7E54D28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26.1参与采购活动的各方应对采购文件和响应文件中的商业和技术等秘密保密，违者应对由此造成的后果承担法律责任。</w:t>
      </w:r>
    </w:p>
    <w:p w14:paraId="171DE23C">
      <w:pPr>
        <w:spacing w:line="360" w:lineRule="auto"/>
        <w:ind w:firstLine="420" w:firstLineChars="200"/>
        <w:rPr>
          <w:rFonts w:hint="eastAsia" w:ascii="宋体" w:hAnsi="宋体" w:cs="宋体"/>
          <w:szCs w:val="21"/>
          <w:highlight w:val="none"/>
        </w:rPr>
      </w:pPr>
    </w:p>
    <w:p w14:paraId="707CD310">
      <w:pPr>
        <w:numPr>
          <w:ilvl w:val="0"/>
          <w:numId w:val="2"/>
        </w:numPr>
        <w:jc w:val="center"/>
        <w:outlineLvl w:val="1"/>
        <w:rPr>
          <w:rFonts w:hint="eastAsia" w:ascii="宋体" w:hAnsi="宋体" w:cs="宋体"/>
          <w:b/>
          <w:bCs/>
          <w:sz w:val="24"/>
          <w:szCs w:val="24"/>
          <w:highlight w:val="none"/>
        </w:rPr>
      </w:pPr>
      <w:bookmarkStart w:id="311" w:name="_Toc29176"/>
      <w:bookmarkStart w:id="312" w:name="_Toc4751"/>
      <w:bookmarkStart w:id="313" w:name="_Toc30272"/>
      <w:bookmarkStart w:id="314" w:name="_Toc32334"/>
      <w:r>
        <w:rPr>
          <w:rFonts w:hint="eastAsia" w:ascii="宋体" w:hAnsi="宋体" w:cs="宋体"/>
          <w:b/>
          <w:bCs/>
          <w:sz w:val="24"/>
          <w:szCs w:val="24"/>
          <w:highlight w:val="none"/>
        </w:rPr>
        <w:t>授予合同</w:t>
      </w:r>
      <w:bookmarkEnd w:id="311"/>
      <w:bookmarkEnd w:id="312"/>
      <w:bookmarkEnd w:id="313"/>
      <w:bookmarkEnd w:id="314"/>
    </w:p>
    <w:p w14:paraId="7FBA00A6">
      <w:pPr>
        <w:keepNext/>
        <w:keepLines/>
        <w:rPr>
          <w:rFonts w:hint="eastAsia" w:ascii="宋体" w:hAnsi="宋体" w:cs="宋体"/>
          <w:szCs w:val="21"/>
          <w:highlight w:val="none"/>
        </w:rPr>
      </w:pPr>
    </w:p>
    <w:p w14:paraId="1DB7D99E">
      <w:pPr>
        <w:pStyle w:val="4"/>
        <w:numPr>
          <w:ilvl w:val="0"/>
          <w:numId w:val="3"/>
        </w:numPr>
        <w:tabs>
          <w:tab w:val="left" w:pos="485"/>
        </w:tabs>
        <w:rPr>
          <w:rFonts w:hint="eastAsia" w:ascii="宋体" w:hAnsi="宋体" w:cs="宋体"/>
          <w:sz w:val="21"/>
          <w:szCs w:val="21"/>
          <w:highlight w:val="none"/>
        </w:rPr>
      </w:pPr>
      <w:bookmarkStart w:id="315" w:name="_Toc30812"/>
      <w:bookmarkStart w:id="316" w:name="_Toc20623"/>
      <w:bookmarkStart w:id="317" w:name="_Toc10216"/>
      <w:bookmarkStart w:id="318" w:name="_Toc22280"/>
      <w:r>
        <w:rPr>
          <w:rFonts w:hint="eastAsia" w:ascii="宋体" w:hAnsi="宋体" w:cs="宋体"/>
          <w:sz w:val="21"/>
          <w:szCs w:val="21"/>
          <w:highlight w:val="none"/>
        </w:rPr>
        <w:t>成交供应商的产生</w:t>
      </w:r>
      <w:bookmarkEnd w:id="315"/>
      <w:bookmarkEnd w:id="316"/>
      <w:bookmarkEnd w:id="317"/>
      <w:bookmarkEnd w:id="318"/>
    </w:p>
    <w:p w14:paraId="312438D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27.1 采购人可以事先授权评审小组直接确定成交供应商。</w:t>
      </w:r>
    </w:p>
    <w:p w14:paraId="55A69EDF">
      <w:pPr>
        <w:spacing w:line="360" w:lineRule="auto"/>
        <w:ind w:firstLine="420" w:firstLineChars="200"/>
        <w:rPr>
          <w:rFonts w:hint="eastAsia" w:ascii="宋体" w:hAnsi="宋体" w:cs="宋体"/>
          <w:kern w:val="0"/>
          <w:szCs w:val="21"/>
          <w:highlight w:val="none"/>
        </w:rPr>
      </w:pPr>
      <w:r>
        <w:rPr>
          <w:rFonts w:hint="eastAsia" w:ascii="宋体" w:hAnsi="宋体" w:cs="宋体"/>
          <w:szCs w:val="21"/>
          <w:highlight w:val="none"/>
        </w:rPr>
        <w:t>27.2 采购人也可以在评审报告推荐的候选成交供应商名单中，综合评估后，选择确定成交供应商。候选成交供应商应当限定为3名，</w:t>
      </w:r>
      <w:r>
        <w:rPr>
          <w:rFonts w:hint="eastAsia" w:ascii="宋体" w:hAnsi="宋体" w:cs="宋体"/>
          <w:kern w:val="0"/>
          <w:szCs w:val="21"/>
          <w:highlight w:val="none"/>
        </w:rPr>
        <w:t>若最终成交候选人不足三家，则据实推荐，并标明排列顺序。</w:t>
      </w:r>
    </w:p>
    <w:p w14:paraId="7429C55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27.3成交供应商拒绝与采购人签订合同的，或者采购文件规定应当提交履约而在规定的期限内未能提交的，采购人可以按照评审报告推荐的成交候选人名单排序，确定下一候选人为成交供应商，也可以重新组织采购活动。</w:t>
      </w:r>
    </w:p>
    <w:p w14:paraId="0185D117">
      <w:pPr>
        <w:pStyle w:val="4"/>
        <w:numPr>
          <w:ilvl w:val="0"/>
          <w:numId w:val="3"/>
        </w:numPr>
        <w:tabs>
          <w:tab w:val="left" w:pos="423"/>
          <w:tab w:val="left" w:pos="473"/>
        </w:tabs>
        <w:rPr>
          <w:rFonts w:hint="eastAsia" w:ascii="宋体" w:hAnsi="宋体" w:cs="宋体"/>
          <w:sz w:val="21"/>
          <w:szCs w:val="21"/>
          <w:highlight w:val="none"/>
        </w:rPr>
      </w:pPr>
      <w:bookmarkStart w:id="319" w:name="_Toc23239"/>
      <w:bookmarkStart w:id="320" w:name="_Toc7727"/>
      <w:bookmarkStart w:id="321" w:name="_Toc12649"/>
      <w:bookmarkStart w:id="322" w:name="_Toc10928"/>
      <w:r>
        <w:rPr>
          <w:rFonts w:hint="eastAsia" w:ascii="宋体" w:hAnsi="宋体" w:cs="宋体"/>
          <w:sz w:val="21"/>
          <w:szCs w:val="21"/>
          <w:highlight w:val="none"/>
        </w:rPr>
        <w:t>成交通知</w:t>
      </w:r>
      <w:bookmarkEnd w:id="319"/>
      <w:bookmarkEnd w:id="320"/>
      <w:bookmarkEnd w:id="321"/>
      <w:bookmarkEnd w:id="322"/>
    </w:p>
    <w:p w14:paraId="05B3115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采购人确定成交供应商后，在响应文件的有效期内，采购人以书面形式向成交供应商发出成交通知书。</w:t>
      </w:r>
    </w:p>
    <w:p w14:paraId="41ACC9A3">
      <w:pPr>
        <w:pStyle w:val="4"/>
        <w:numPr>
          <w:ilvl w:val="0"/>
          <w:numId w:val="3"/>
        </w:numPr>
        <w:tabs>
          <w:tab w:val="left" w:pos="410"/>
          <w:tab w:val="left" w:pos="448"/>
          <w:tab w:val="left" w:pos="498"/>
          <w:tab w:val="left" w:pos="585"/>
        </w:tabs>
        <w:rPr>
          <w:rFonts w:hint="eastAsia" w:ascii="宋体" w:hAnsi="宋体" w:cs="宋体"/>
          <w:sz w:val="21"/>
          <w:szCs w:val="21"/>
          <w:highlight w:val="none"/>
        </w:rPr>
      </w:pPr>
      <w:bookmarkStart w:id="323" w:name="_Toc8754"/>
      <w:bookmarkStart w:id="324" w:name="_Toc15213"/>
      <w:bookmarkStart w:id="325" w:name="_Toc28952"/>
      <w:bookmarkStart w:id="326" w:name="_Toc13236"/>
      <w:r>
        <w:rPr>
          <w:rFonts w:hint="eastAsia" w:ascii="宋体" w:hAnsi="宋体" w:cs="宋体"/>
          <w:sz w:val="21"/>
          <w:szCs w:val="21"/>
          <w:highlight w:val="none"/>
        </w:rPr>
        <w:t>履约担保</w:t>
      </w:r>
      <w:bookmarkEnd w:id="323"/>
      <w:bookmarkEnd w:id="324"/>
      <w:bookmarkEnd w:id="325"/>
      <w:bookmarkEnd w:id="326"/>
    </w:p>
    <w:p w14:paraId="1CC05CC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29.1在签订合同前，成交供应商应按“供应商须知前附表”规定的金额、担保形式和采购文件第四章“合同条款及格式”规定的履约担保格式向采购人提交履约担保。采用银行保函时，出具银行保函的银行级别在“供应商须知前附表”中说明，所需的费用由成交供应商承担，成交供应商应保证银行保函有效。联合体成交的，其履约担保由牵头人递交，并应符合“供应商须知前附表”规定的金额、担保形式和采购文件第四章“合同条款及格式”规定的履约担保格式要求。采用银行保函时，出具银行保函的银行级别在“供应商须知前附表”中说明，所需的费用由成交供应商承担，成交供应商应保证银行保函有效。</w:t>
      </w:r>
    </w:p>
    <w:p w14:paraId="1AB4CBE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29.2成交供应商不能按采购文件要求提交履约担保的，视为放弃成交。</w:t>
      </w:r>
    </w:p>
    <w:p w14:paraId="24FE8BC6">
      <w:pPr>
        <w:pStyle w:val="4"/>
        <w:numPr>
          <w:ilvl w:val="0"/>
          <w:numId w:val="3"/>
        </w:numPr>
        <w:tabs>
          <w:tab w:val="left" w:pos="460"/>
          <w:tab w:val="left" w:pos="523"/>
        </w:tabs>
        <w:rPr>
          <w:rFonts w:hint="eastAsia" w:ascii="宋体" w:hAnsi="宋体" w:cs="宋体"/>
          <w:sz w:val="21"/>
          <w:szCs w:val="21"/>
          <w:highlight w:val="none"/>
        </w:rPr>
      </w:pPr>
      <w:bookmarkStart w:id="327" w:name="_Toc23145"/>
      <w:bookmarkStart w:id="328" w:name="_Toc30763"/>
      <w:bookmarkStart w:id="329" w:name="_Toc25591"/>
      <w:bookmarkStart w:id="330" w:name="_Toc97"/>
      <w:r>
        <w:rPr>
          <w:rFonts w:hint="eastAsia" w:ascii="宋体" w:hAnsi="宋体" w:cs="宋体"/>
          <w:sz w:val="21"/>
          <w:szCs w:val="21"/>
          <w:highlight w:val="none"/>
        </w:rPr>
        <w:t>签订合同</w:t>
      </w:r>
      <w:bookmarkEnd w:id="327"/>
      <w:bookmarkEnd w:id="328"/>
      <w:bookmarkEnd w:id="329"/>
      <w:bookmarkEnd w:id="330"/>
    </w:p>
    <w:p w14:paraId="5444E94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30.1 采购人与成交供应商应当在成交通知书发出之日起三十日内，根据采购文件和成交供应商的响应文件订立书面合同。</w:t>
      </w:r>
    </w:p>
    <w:p w14:paraId="72B5DAB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30.2 采购文件、成交供应商的响应文件及其澄清文件等，均为签订合同的依据，且为合同的组成部分。</w:t>
      </w:r>
    </w:p>
    <w:p w14:paraId="4593EEA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30.3发出成交通知书后，采购人无正当理由不应拒签合同。采购人不得与成交供应商再行订立背离合同实质性内容的其它协议。</w:t>
      </w:r>
    </w:p>
    <w:p w14:paraId="5738412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30.3合同协议书经双方法定代表人或其授权代表签署并加盖单位章后生效。若为联合体响应，则联合体各成员的法定代表人或其授权代表都应在合同协议书上签署并加盖单位章。采购人和成交供应商在签订合同协议书的同时需按照本采购文件规定的格式和要求签订廉政合同，明确双方在廉政建设方面的权利和义务以及应承担的违约责任。</w:t>
      </w:r>
    </w:p>
    <w:p w14:paraId="242975DA">
      <w:pPr>
        <w:pStyle w:val="4"/>
        <w:numPr>
          <w:ilvl w:val="0"/>
          <w:numId w:val="3"/>
        </w:numPr>
        <w:tabs>
          <w:tab w:val="left" w:pos="473"/>
        </w:tabs>
        <w:rPr>
          <w:rFonts w:hint="eastAsia" w:ascii="宋体" w:hAnsi="宋体" w:cs="宋体"/>
          <w:sz w:val="21"/>
          <w:szCs w:val="21"/>
          <w:highlight w:val="none"/>
        </w:rPr>
      </w:pPr>
      <w:bookmarkStart w:id="331" w:name="_Toc1829"/>
      <w:bookmarkStart w:id="332" w:name="_Toc115157687"/>
      <w:bookmarkStart w:id="333" w:name="_Toc115157814"/>
      <w:bookmarkStart w:id="334" w:name="_Toc86661989"/>
      <w:bookmarkStart w:id="335" w:name="_Toc86662137"/>
      <w:bookmarkStart w:id="336" w:name="_Toc174872763"/>
      <w:bookmarkStart w:id="337" w:name="_Toc135556899"/>
      <w:bookmarkStart w:id="338" w:name="_Toc120002564"/>
      <w:bookmarkStart w:id="339" w:name="_Toc86660632"/>
      <w:bookmarkStart w:id="340" w:name="_Toc30743"/>
      <w:bookmarkStart w:id="341" w:name="_Toc157233263"/>
      <w:bookmarkStart w:id="342" w:name="_Toc454541019"/>
      <w:bookmarkStart w:id="343" w:name="_Toc285967239"/>
      <w:bookmarkStart w:id="344" w:name="_Toc171676005"/>
      <w:bookmarkStart w:id="345" w:name="_Toc200790225"/>
      <w:bookmarkStart w:id="346" w:name="_Toc150267454"/>
      <w:bookmarkStart w:id="347" w:name="_Toc120002760"/>
      <w:bookmarkStart w:id="348" w:name="_Toc167500801"/>
      <w:bookmarkStart w:id="349" w:name="_Toc285232238"/>
      <w:bookmarkStart w:id="350" w:name="_Toc120858099"/>
      <w:bookmarkStart w:id="351" w:name="_Toc18245"/>
      <w:bookmarkStart w:id="352" w:name="_Toc168213143"/>
      <w:bookmarkStart w:id="353" w:name="_Toc120590919"/>
      <w:bookmarkStart w:id="354" w:name="_Toc170037304"/>
      <w:bookmarkStart w:id="355" w:name="_Toc121206476"/>
      <w:bookmarkStart w:id="356" w:name="_Toc285966829"/>
      <w:bookmarkStart w:id="357" w:name="_Toc170035716"/>
      <w:bookmarkStart w:id="358" w:name="_Toc200360038"/>
      <w:bookmarkStart w:id="359" w:name="_Toc120243568"/>
      <w:bookmarkStart w:id="360" w:name="_Toc150596292"/>
      <w:bookmarkStart w:id="361" w:name="_Toc2533"/>
      <w:bookmarkStart w:id="362" w:name="_Toc86715755"/>
      <w:bookmarkStart w:id="363" w:name="_Toc285231808"/>
      <w:bookmarkStart w:id="364" w:name="_Toc115157207"/>
      <w:bookmarkStart w:id="365" w:name="_Toc285965915"/>
      <w:bookmarkStart w:id="366" w:name="_Toc285966656"/>
      <w:bookmarkStart w:id="367" w:name="_Toc115158317"/>
      <w:bookmarkStart w:id="368" w:name="_Toc121135650"/>
      <w:bookmarkStart w:id="369" w:name="_Toc285966521"/>
      <w:bookmarkStart w:id="370" w:name="_Toc121134586"/>
      <w:bookmarkStart w:id="371" w:name="_Toc86631443"/>
      <w:bookmarkStart w:id="372" w:name="_Toc86661693"/>
      <w:bookmarkStart w:id="373" w:name="_Toc174873078"/>
      <w:bookmarkStart w:id="374" w:name="_Toc10249"/>
      <w:bookmarkStart w:id="375" w:name="_Toc168213369"/>
      <w:bookmarkStart w:id="376" w:name="_Toc135561682"/>
      <w:bookmarkStart w:id="377" w:name="_Toc150596783"/>
      <w:bookmarkStart w:id="378" w:name="_Toc285965756"/>
      <w:bookmarkStart w:id="379" w:name="_Toc86715308"/>
      <w:bookmarkStart w:id="380" w:name="_Toc115158445"/>
      <w:bookmarkStart w:id="381" w:name="_Toc285966207"/>
      <w:bookmarkStart w:id="382" w:name="_Toc168222728"/>
      <w:bookmarkStart w:id="383" w:name="_Toc86715159"/>
      <w:bookmarkStart w:id="384" w:name="_Toc172459715"/>
      <w:bookmarkStart w:id="385" w:name="_Toc138496608"/>
      <w:bookmarkStart w:id="386" w:name="_Toc285232022"/>
      <w:bookmarkStart w:id="387" w:name="_Toc285965464"/>
      <w:bookmarkStart w:id="388" w:name="_Toc285965599"/>
      <w:bookmarkStart w:id="389" w:name="_Toc86715605"/>
      <w:bookmarkStart w:id="390" w:name="_Toc285967411"/>
      <w:bookmarkStart w:id="391" w:name="_Toc157511472"/>
      <w:r>
        <w:rPr>
          <w:rFonts w:hint="eastAsia" w:ascii="宋体" w:hAnsi="宋体" w:cs="宋体"/>
          <w:sz w:val="21"/>
          <w:szCs w:val="21"/>
          <w:highlight w:val="none"/>
        </w:rPr>
        <w:t>其他</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14:paraId="659AF480">
      <w:pPr>
        <w:spacing w:line="360" w:lineRule="auto"/>
        <w:ind w:firstLine="210" w:firstLineChars="100"/>
        <w:rPr>
          <w:rFonts w:hint="eastAsia" w:ascii="宋体" w:hAnsi="宋体" w:cs="宋体"/>
          <w:szCs w:val="21"/>
          <w:highlight w:val="none"/>
        </w:rPr>
      </w:pPr>
      <w:r>
        <w:rPr>
          <w:rFonts w:hint="eastAsia" w:ascii="宋体" w:hAnsi="宋体" w:cs="宋体"/>
          <w:szCs w:val="21"/>
          <w:highlight w:val="none"/>
        </w:rPr>
        <w:t>31.1供应商不得将其提供的货物或服务进行转包。</w:t>
      </w:r>
    </w:p>
    <w:p w14:paraId="04A2B735">
      <w:pPr>
        <w:spacing w:line="360" w:lineRule="auto"/>
        <w:ind w:firstLine="210" w:firstLineChars="100"/>
        <w:rPr>
          <w:rFonts w:hint="eastAsia" w:ascii="宋体" w:hAnsi="宋体" w:cs="宋体"/>
          <w:sz w:val="28"/>
          <w:szCs w:val="28"/>
          <w:highlight w:val="none"/>
        </w:rPr>
        <w:sectPr>
          <w:headerReference r:id="rId12" w:type="default"/>
          <w:pgSz w:w="11906" w:h="16838"/>
          <w:pgMar w:top="1440" w:right="1800" w:bottom="1440" w:left="1800" w:header="851" w:footer="992" w:gutter="0"/>
          <w:cols w:space="425" w:num="1"/>
          <w:docGrid w:type="lines" w:linePitch="312" w:charSpace="0"/>
        </w:sectPr>
      </w:pPr>
      <w:r>
        <w:rPr>
          <w:rFonts w:hint="eastAsia" w:ascii="宋体" w:hAnsi="宋体" w:cs="宋体"/>
          <w:szCs w:val="21"/>
          <w:highlight w:val="none"/>
        </w:rPr>
        <w:t>31.2其他。</w:t>
      </w:r>
    </w:p>
    <w:p w14:paraId="715B2486">
      <w:pPr>
        <w:spacing w:line="360" w:lineRule="auto"/>
        <w:ind w:firstLine="560" w:firstLineChars="200"/>
        <w:rPr>
          <w:rFonts w:hint="eastAsia" w:ascii="宋体" w:hAnsi="宋体" w:cs="宋体"/>
          <w:sz w:val="28"/>
          <w:szCs w:val="28"/>
          <w:highlight w:val="none"/>
        </w:rPr>
      </w:pPr>
    </w:p>
    <w:p w14:paraId="50951254">
      <w:pPr>
        <w:spacing w:line="360" w:lineRule="auto"/>
        <w:ind w:firstLine="560" w:firstLineChars="200"/>
        <w:rPr>
          <w:rFonts w:hint="eastAsia" w:ascii="宋体" w:hAnsi="宋体" w:cs="宋体"/>
          <w:sz w:val="28"/>
          <w:szCs w:val="28"/>
          <w:highlight w:val="none"/>
        </w:rPr>
      </w:pPr>
    </w:p>
    <w:p w14:paraId="01ECFEDB">
      <w:pPr>
        <w:spacing w:line="360" w:lineRule="auto"/>
        <w:ind w:firstLine="560" w:firstLineChars="200"/>
        <w:rPr>
          <w:rFonts w:hint="eastAsia" w:ascii="宋体" w:hAnsi="宋体" w:cs="宋体"/>
          <w:sz w:val="28"/>
          <w:szCs w:val="28"/>
          <w:highlight w:val="none"/>
        </w:rPr>
      </w:pPr>
    </w:p>
    <w:p w14:paraId="7BF9BEF8">
      <w:pPr>
        <w:spacing w:line="360" w:lineRule="auto"/>
        <w:ind w:firstLine="560" w:firstLineChars="200"/>
        <w:rPr>
          <w:rFonts w:hint="eastAsia" w:ascii="宋体" w:hAnsi="宋体" w:cs="宋体"/>
          <w:sz w:val="28"/>
          <w:szCs w:val="28"/>
          <w:highlight w:val="none"/>
        </w:rPr>
      </w:pPr>
    </w:p>
    <w:p w14:paraId="37201EC4">
      <w:pPr>
        <w:spacing w:line="360" w:lineRule="auto"/>
        <w:ind w:firstLine="560" w:firstLineChars="200"/>
        <w:rPr>
          <w:rFonts w:hint="eastAsia" w:ascii="宋体" w:hAnsi="宋体" w:cs="宋体"/>
          <w:sz w:val="28"/>
          <w:szCs w:val="28"/>
          <w:highlight w:val="none"/>
        </w:rPr>
      </w:pPr>
    </w:p>
    <w:p w14:paraId="66491A8B">
      <w:pPr>
        <w:pStyle w:val="49"/>
        <w:ind w:firstLine="280"/>
        <w:rPr>
          <w:rFonts w:hint="eastAsia" w:ascii="宋体" w:hAnsi="宋体" w:cs="宋体"/>
          <w:sz w:val="28"/>
          <w:szCs w:val="28"/>
          <w:highlight w:val="none"/>
        </w:rPr>
      </w:pPr>
    </w:p>
    <w:p w14:paraId="1D8C426E">
      <w:pPr>
        <w:pStyle w:val="49"/>
        <w:ind w:firstLine="280"/>
        <w:rPr>
          <w:rFonts w:hint="eastAsia" w:ascii="宋体" w:hAnsi="宋体" w:cs="宋体"/>
          <w:sz w:val="28"/>
          <w:szCs w:val="28"/>
          <w:highlight w:val="none"/>
        </w:rPr>
      </w:pPr>
    </w:p>
    <w:p w14:paraId="28DD3A13">
      <w:pPr>
        <w:pStyle w:val="49"/>
        <w:ind w:firstLine="280"/>
        <w:rPr>
          <w:rFonts w:hint="eastAsia" w:ascii="宋体" w:hAnsi="宋体" w:cs="宋体"/>
          <w:sz w:val="28"/>
          <w:szCs w:val="28"/>
          <w:highlight w:val="none"/>
        </w:rPr>
      </w:pPr>
    </w:p>
    <w:p w14:paraId="4A09A2A6">
      <w:pPr>
        <w:spacing w:line="360" w:lineRule="auto"/>
        <w:ind w:firstLine="560" w:firstLineChars="200"/>
        <w:rPr>
          <w:rFonts w:hint="eastAsia" w:ascii="宋体" w:hAnsi="宋体" w:cs="宋体"/>
          <w:sz w:val="28"/>
          <w:szCs w:val="28"/>
          <w:highlight w:val="none"/>
        </w:rPr>
      </w:pPr>
    </w:p>
    <w:p w14:paraId="6EB19989">
      <w:pPr>
        <w:spacing w:line="560" w:lineRule="exact"/>
        <w:ind w:right="-153" w:rightChars="-73"/>
        <w:jc w:val="center"/>
        <w:outlineLvl w:val="0"/>
        <w:rPr>
          <w:rFonts w:hint="eastAsia" w:ascii="宋体" w:hAnsi="宋体" w:cs="宋体"/>
          <w:b/>
          <w:sz w:val="52"/>
          <w:szCs w:val="48"/>
          <w:highlight w:val="none"/>
        </w:rPr>
      </w:pPr>
      <w:bookmarkStart w:id="392" w:name="_Toc11465"/>
      <w:r>
        <w:rPr>
          <w:rFonts w:hint="eastAsia" w:ascii="宋体" w:hAnsi="宋体" w:cs="宋体"/>
          <w:b/>
          <w:sz w:val="52"/>
          <w:szCs w:val="48"/>
          <w:highlight w:val="none"/>
        </w:rPr>
        <w:t>第三章  评审办法</w:t>
      </w:r>
      <w:bookmarkEnd w:id="392"/>
    </w:p>
    <w:p w14:paraId="2E5C17CE">
      <w:pPr>
        <w:widowControl/>
        <w:jc w:val="left"/>
        <w:rPr>
          <w:rFonts w:hint="eastAsia" w:ascii="宋体" w:hAnsi="宋体" w:cs="宋体"/>
          <w:b/>
          <w:sz w:val="52"/>
          <w:szCs w:val="48"/>
          <w:highlight w:val="none"/>
        </w:rPr>
      </w:pPr>
      <w:r>
        <w:rPr>
          <w:rFonts w:hint="eastAsia" w:ascii="宋体" w:hAnsi="宋体" w:cs="宋体"/>
          <w:b/>
          <w:sz w:val="52"/>
          <w:szCs w:val="48"/>
          <w:highlight w:val="none"/>
        </w:rPr>
        <w:br w:type="page"/>
      </w:r>
    </w:p>
    <w:p w14:paraId="1E09F734">
      <w:pPr>
        <w:widowControl/>
        <w:jc w:val="center"/>
        <w:rPr>
          <w:rFonts w:hint="eastAsia" w:ascii="宋体" w:hAnsi="宋体" w:cs="宋体"/>
          <w:b/>
          <w:sz w:val="28"/>
          <w:szCs w:val="28"/>
          <w:highlight w:val="none"/>
        </w:rPr>
      </w:pPr>
      <w:r>
        <w:rPr>
          <w:rFonts w:hint="eastAsia" w:ascii="宋体" w:hAnsi="宋体" w:cs="宋体"/>
          <w:b/>
          <w:sz w:val="28"/>
          <w:szCs w:val="28"/>
          <w:highlight w:val="none"/>
        </w:rPr>
        <w:t>评审办法前附表</w:t>
      </w:r>
    </w:p>
    <w:p w14:paraId="7F5D56A9">
      <w:pPr>
        <w:widowControl/>
        <w:jc w:val="center"/>
        <w:rPr>
          <w:rFonts w:hint="eastAsia" w:ascii="宋体" w:hAnsi="宋体" w:cs="宋体"/>
          <w:b/>
          <w:sz w:val="28"/>
          <w:szCs w:val="28"/>
          <w:highlight w:val="none"/>
        </w:rPr>
      </w:pPr>
      <w:r>
        <w:rPr>
          <w:rFonts w:hint="eastAsia" w:ascii="宋体" w:hAnsi="宋体" w:cs="宋体"/>
          <w:b/>
          <w:sz w:val="28"/>
          <w:szCs w:val="28"/>
          <w:highlight w:val="none"/>
        </w:rPr>
        <w:t>（一）初步审查</w:t>
      </w:r>
    </w:p>
    <w:tbl>
      <w:tblPr>
        <w:tblStyle w:val="33"/>
        <w:tblpPr w:leftFromText="180" w:rightFromText="180" w:vertAnchor="text" w:horzAnchor="margin" w:tblpXSpec="center" w:tblpY="157"/>
        <w:tblW w:w="98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149"/>
        <w:gridCol w:w="2811"/>
        <w:gridCol w:w="5040"/>
      </w:tblGrid>
      <w:tr w14:paraId="56345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977" w:type="dxa"/>
            <w:gridSpan w:val="2"/>
            <w:vAlign w:val="center"/>
          </w:tcPr>
          <w:p w14:paraId="3AD28A41">
            <w:pPr>
              <w:jc w:val="center"/>
              <w:rPr>
                <w:rFonts w:hint="eastAsia" w:ascii="宋体" w:hAnsi="宋体" w:cs="宋体"/>
                <w:szCs w:val="21"/>
                <w:highlight w:val="none"/>
              </w:rPr>
            </w:pPr>
            <w:r>
              <w:rPr>
                <w:rFonts w:hint="eastAsia" w:ascii="宋体" w:hAnsi="宋体" w:cs="宋体"/>
                <w:szCs w:val="21"/>
                <w:highlight w:val="none"/>
              </w:rPr>
              <w:t>条款号</w:t>
            </w:r>
          </w:p>
        </w:tc>
        <w:tc>
          <w:tcPr>
            <w:tcW w:w="2811" w:type="dxa"/>
            <w:vAlign w:val="center"/>
          </w:tcPr>
          <w:p w14:paraId="3A0EB901">
            <w:pPr>
              <w:jc w:val="center"/>
              <w:rPr>
                <w:rFonts w:hint="eastAsia" w:ascii="宋体" w:hAnsi="宋体" w:cs="宋体"/>
                <w:szCs w:val="21"/>
                <w:highlight w:val="none"/>
              </w:rPr>
            </w:pPr>
            <w:r>
              <w:rPr>
                <w:rFonts w:hint="eastAsia" w:ascii="宋体" w:hAnsi="宋体" w:cs="宋体"/>
                <w:szCs w:val="21"/>
                <w:highlight w:val="none"/>
              </w:rPr>
              <w:t>评审因素</w:t>
            </w:r>
          </w:p>
        </w:tc>
        <w:tc>
          <w:tcPr>
            <w:tcW w:w="5040" w:type="dxa"/>
            <w:vAlign w:val="center"/>
          </w:tcPr>
          <w:p w14:paraId="61DC2996">
            <w:pPr>
              <w:jc w:val="center"/>
              <w:rPr>
                <w:rFonts w:hint="eastAsia" w:ascii="宋体" w:hAnsi="宋体" w:cs="宋体"/>
                <w:szCs w:val="21"/>
                <w:highlight w:val="none"/>
              </w:rPr>
            </w:pPr>
            <w:r>
              <w:rPr>
                <w:rFonts w:hint="eastAsia" w:ascii="宋体" w:hAnsi="宋体" w:cs="宋体"/>
                <w:szCs w:val="21"/>
                <w:highlight w:val="none"/>
              </w:rPr>
              <w:t>评审标准</w:t>
            </w:r>
          </w:p>
        </w:tc>
      </w:tr>
      <w:tr w14:paraId="34022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28" w:type="dxa"/>
            <w:vMerge w:val="restart"/>
            <w:vAlign w:val="center"/>
          </w:tcPr>
          <w:p w14:paraId="302B99A7">
            <w:pPr>
              <w:jc w:val="center"/>
              <w:rPr>
                <w:rFonts w:hint="eastAsia" w:ascii="宋体" w:hAnsi="宋体" w:cs="宋体"/>
                <w:szCs w:val="21"/>
                <w:highlight w:val="none"/>
              </w:rPr>
            </w:pPr>
            <w:r>
              <w:rPr>
                <w:rFonts w:hint="eastAsia" w:ascii="宋体" w:hAnsi="宋体" w:cs="宋体"/>
                <w:szCs w:val="21"/>
                <w:highlight w:val="none"/>
              </w:rPr>
              <w:t>2.1.1</w:t>
            </w:r>
          </w:p>
        </w:tc>
        <w:tc>
          <w:tcPr>
            <w:tcW w:w="1149" w:type="dxa"/>
            <w:vMerge w:val="restart"/>
            <w:vAlign w:val="center"/>
          </w:tcPr>
          <w:p w14:paraId="13B25631">
            <w:pPr>
              <w:jc w:val="center"/>
              <w:rPr>
                <w:rFonts w:hint="eastAsia" w:ascii="宋体" w:hAnsi="宋体" w:cs="宋体"/>
                <w:szCs w:val="21"/>
                <w:highlight w:val="none"/>
              </w:rPr>
            </w:pPr>
            <w:r>
              <w:rPr>
                <w:rFonts w:hint="eastAsia" w:ascii="宋体" w:hAnsi="宋体" w:cs="宋体"/>
                <w:szCs w:val="21"/>
                <w:highlight w:val="none"/>
              </w:rPr>
              <w:t>形式评审标准</w:t>
            </w:r>
          </w:p>
        </w:tc>
        <w:tc>
          <w:tcPr>
            <w:tcW w:w="2811" w:type="dxa"/>
            <w:vAlign w:val="center"/>
          </w:tcPr>
          <w:p w14:paraId="3BA143F5">
            <w:pPr>
              <w:jc w:val="left"/>
              <w:rPr>
                <w:rFonts w:hint="eastAsia" w:ascii="宋体" w:hAnsi="宋体" w:cs="宋体"/>
                <w:szCs w:val="21"/>
                <w:highlight w:val="none"/>
              </w:rPr>
            </w:pPr>
            <w:r>
              <w:rPr>
                <w:rFonts w:hint="eastAsia" w:ascii="宋体" w:hAnsi="宋体" w:cs="宋体"/>
                <w:szCs w:val="21"/>
                <w:highlight w:val="none"/>
              </w:rPr>
              <w:t>供应商名称</w:t>
            </w:r>
          </w:p>
        </w:tc>
        <w:tc>
          <w:tcPr>
            <w:tcW w:w="5040" w:type="dxa"/>
            <w:vAlign w:val="center"/>
          </w:tcPr>
          <w:p w14:paraId="34B8E3A6">
            <w:pPr>
              <w:rPr>
                <w:rFonts w:hint="eastAsia" w:ascii="宋体" w:hAnsi="宋体" w:cs="宋体"/>
                <w:szCs w:val="21"/>
                <w:highlight w:val="none"/>
              </w:rPr>
            </w:pPr>
            <w:r>
              <w:rPr>
                <w:rFonts w:hint="eastAsia" w:ascii="宋体" w:hAnsi="宋体" w:cs="宋体"/>
                <w:szCs w:val="21"/>
                <w:highlight w:val="none"/>
              </w:rPr>
              <w:t>与</w:t>
            </w:r>
            <w:r>
              <w:rPr>
                <w:rFonts w:hint="eastAsia" w:ascii="宋体" w:hAnsi="宋体" w:eastAsia="宋体" w:cs="宋体"/>
                <w:color w:val="auto"/>
                <w:sz w:val="21"/>
                <w:szCs w:val="21"/>
                <w:highlight w:val="none"/>
                <w:lang w:bidi="ar"/>
              </w:rPr>
              <w:t>企业法人营业执照、或事业单位法人证书、或登记证、或组织机构代码证等相关证明</w:t>
            </w:r>
            <w:r>
              <w:rPr>
                <w:rFonts w:hint="eastAsia" w:ascii="宋体" w:hAnsi="宋体" w:cs="宋体"/>
                <w:szCs w:val="21"/>
                <w:highlight w:val="none"/>
              </w:rPr>
              <w:t>一致</w:t>
            </w:r>
          </w:p>
        </w:tc>
      </w:tr>
      <w:tr w14:paraId="34EF2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28" w:type="dxa"/>
            <w:vMerge w:val="continue"/>
            <w:vAlign w:val="center"/>
          </w:tcPr>
          <w:p w14:paraId="50EDE397">
            <w:pPr>
              <w:jc w:val="center"/>
              <w:rPr>
                <w:rFonts w:hint="eastAsia" w:ascii="宋体" w:hAnsi="宋体" w:cs="宋体"/>
                <w:szCs w:val="21"/>
                <w:highlight w:val="none"/>
              </w:rPr>
            </w:pPr>
          </w:p>
        </w:tc>
        <w:tc>
          <w:tcPr>
            <w:tcW w:w="1149" w:type="dxa"/>
            <w:vMerge w:val="continue"/>
            <w:vAlign w:val="center"/>
          </w:tcPr>
          <w:p w14:paraId="5140F777">
            <w:pPr>
              <w:jc w:val="center"/>
              <w:rPr>
                <w:rFonts w:hint="eastAsia" w:ascii="宋体" w:hAnsi="宋体" w:cs="宋体"/>
                <w:szCs w:val="21"/>
                <w:highlight w:val="none"/>
              </w:rPr>
            </w:pPr>
          </w:p>
        </w:tc>
        <w:tc>
          <w:tcPr>
            <w:tcW w:w="2811" w:type="dxa"/>
            <w:vAlign w:val="center"/>
          </w:tcPr>
          <w:p w14:paraId="44626161">
            <w:pPr>
              <w:jc w:val="left"/>
              <w:rPr>
                <w:rFonts w:hint="eastAsia" w:ascii="宋体" w:hAnsi="宋体" w:cs="宋体"/>
                <w:szCs w:val="21"/>
                <w:highlight w:val="none"/>
              </w:rPr>
            </w:pPr>
            <w:r>
              <w:rPr>
                <w:rFonts w:hint="eastAsia" w:ascii="宋体" w:hAnsi="宋体" w:cs="宋体"/>
                <w:szCs w:val="21"/>
                <w:highlight w:val="none"/>
              </w:rPr>
              <w:t>响应函签字盖章</w:t>
            </w:r>
          </w:p>
        </w:tc>
        <w:tc>
          <w:tcPr>
            <w:tcW w:w="5040" w:type="dxa"/>
            <w:vAlign w:val="center"/>
          </w:tcPr>
          <w:p w14:paraId="0D3E9537">
            <w:pPr>
              <w:rPr>
                <w:rFonts w:hint="eastAsia" w:ascii="宋体" w:hAnsi="宋体" w:cs="宋体"/>
                <w:szCs w:val="21"/>
                <w:highlight w:val="none"/>
              </w:rPr>
            </w:pPr>
            <w:r>
              <w:rPr>
                <w:rFonts w:hint="eastAsia" w:ascii="宋体" w:hAnsi="宋体" w:cs="宋体"/>
                <w:szCs w:val="21"/>
                <w:highlight w:val="none"/>
              </w:rPr>
              <w:t>有法定代表人或其委托代理人签字或盖章并加盖单位章</w:t>
            </w:r>
          </w:p>
        </w:tc>
      </w:tr>
      <w:tr w14:paraId="3CA41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828" w:type="dxa"/>
            <w:vMerge w:val="continue"/>
            <w:vAlign w:val="center"/>
          </w:tcPr>
          <w:p w14:paraId="5539066E">
            <w:pPr>
              <w:jc w:val="center"/>
              <w:rPr>
                <w:rFonts w:hint="eastAsia" w:ascii="宋体" w:hAnsi="宋体" w:cs="宋体"/>
                <w:szCs w:val="21"/>
                <w:highlight w:val="none"/>
              </w:rPr>
            </w:pPr>
          </w:p>
        </w:tc>
        <w:tc>
          <w:tcPr>
            <w:tcW w:w="1149" w:type="dxa"/>
            <w:vMerge w:val="continue"/>
            <w:vAlign w:val="center"/>
          </w:tcPr>
          <w:p w14:paraId="07B88E98">
            <w:pPr>
              <w:jc w:val="center"/>
              <w:rPr>
                <w:rFonts w:hint="eastAsia" w:ascii="宋体" w:hAnsi="宋体" w:cs="宋体"/>
                <w:szCs w:val="21"/>
                <w:highlight w:val="none"/>
              </w:rPr>
            </w:pPr>
          </w:p>
        </w:tc>
        <w:tc>
          <w:tcPr>
            <w:tcW w:w="2811" w:type="dxa"/>
            <w:vAlign w:val="center"/>
          </w:tcPr>
          <w:p w14:paraId="4E430E85">
            <w:pPr>
              <w:jc w:val="left"/>
              <w:rPr>
                <w:rFonts w:hint="eastAsia" w:ascii="宋体" w:hAnsi="宋体" w:cs="宋体"/>
                <w:szCs w:val="21"/>
                <w:highlight w:val="none"/>
              </w:rPr>
            </w:pPr>
            <w:r>
              <w:rPr>
                <w:rFonts w:hint="eastAsia" w:ascii="宋体" w:hAnsi="宋体" w:cs="宋体"/>
                <w:szCs w:val="21"/>
                <w:highlight w:val="none"/>
              </w:rPr>
              <w:t>报价唯一</w:t>
            </w:r>
          </w:p>
        </w:tc>
        <w:tc>
          <w:tcPr>
            <w:tcW w:w="5040" w:type="dxa"/>
            <w:vAlign w:val="center"/>
          </w:tcPr>
          <w:p w14:paraId="7D90F215">
            <w:pPr>
              <w:rPr>
                <w:rFonts w:hint="eastAsia" w:ascii="宋体" w:hAnsi="宋体" w:cs="宋体"/>
                <w:szCs w:val="21"/>
                <w:highlight w:val="none"/>
              </w:rPr>
            </w:pPr>
            <w:r>
              <w:rPr>
                <w:rFonts w:hint="eastAsia" w:ascii="宋体" w:hAnsi="宋体" w:cs="宋体"/>
                <w:szCs w:val="21"/>
                <w:highlight w:val="none"/>
              </w:rPr>
              <w:t>只能有一个有效报价</w:t>
            </w:r>
          </w:p>
        </w:tc>
      </w:tr>
      <w:tr w14:paraId="2E5DB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828" w:type="dxa"/>
            <w:vMerge w:val="restart"/>
            <w:vAlign w:val="center"/>
          </w:tcPr>
          <w:p w14:paraId="7D988931">
            <w:pPr>
              <w:jc w:val="center"/>
              <w:rPr>
                <w:rFonts w:hint="eastAsia" w:ascii="宋体" w:hAnsi="宋体" w:cs="宋体"/>
                <w:szCs w:val="21"/>
                <w:highlight w:val="none"/>
              </w:rPr>
            </w:pPr>
            <w:r>
              <w:rPr>
                <w:rFonts w:hint="eastAsia" w:ascii="宋体" w:hAnsi="宋体" w:cs="宋体"/>
                <w:szCs w:val="21"/>
                <w:highlight w:val="none"/>
              </w:rPr>
              <w:t>2.1.2</w:t>
            </w:r>
          </w:p>
        </w:tc>
        <w:tc>
          <w:tcPr>
            <w:tcW w:w="1149" w:type="dxa"/>
            <w:vMerge w:val="restart"/>
            <w:vAlign w:val="center"/>
          </w:tcPr>
          <w:p w14:paraId="5FD42851">
            <w:pPr>
              <w:jc w:val="center"/>
              <w:rPr>
                <w:rFonts w:hint="eastAsia" w:ascii="宋体" w:hAnsi="宋体" w:cs="宋体"/>
                <w:szCs w:val="21"/>
                <w:highlight w:val="none"/>
              </w:rPr>
            </w:pPr>
            <w:r>
              <w:rPr>
                <w:rFonts w:hint="eastAsia" w:ascii="宋体" w:hAnsi="宋体" w:cs="宋体"/>
                <w:szCs w:val="21"/>
                <w:highlight w:val="none"/>
              </w:rPr>
              <w:t>资格评审标准</w:t>
            </w:r>
          </w:p>
        </w:tc>
        <w:tc>
          <w:tcPr>
            <w:tcW w:w="2811" w:type="dxa"/>
            <w:vAlign w:val="center"/>
          </w:tcPr>
          <w:p w14:paraId="691B8DA8">
            <w:pPr>
              <w:jc w:val="left"/>
              <w:rPr>
                <w:rFonts w:hint="eastAsia" w:ascii="宋体" w:hAnsi="宋体" w:cs="宋体"/>
                <w:szCs w:val="21"/>
                <w:highlight w:val="none"/>
              </w:rPr>
            </w:pPr>
            <w:r>
              <w:rPr>
                <w:rFonts w:hint="eastAsia"/>
                <w:highlight w:val="none"/>
                <w:lang w:eastAsia="zh-CN"/>
              </w:rPr>
              <w:t>供应商</w:t>
            </w:r>
            <w:r>
              <w:rPr>
                <w:highlight w:val="none"/>
              </w:rPr>
              <w:t>为具有独立承担民事责任能力的法人或其他组织，须出具合法有效的企业法人营业执照、或事业单位法人证书、或登记证、或组织机构代码证等相关证明</w:t>
            </w:r>
          </w:p>
        </w:tc>
        <w:tc>
          <w:tcPr>
            <w:tcW w:w="5040" w:type="dxa"/>
            <w:vAlign w:val="center"/>
          </w:tcPr>
          <w:p w14:paraId="611644E4">
            <w:pPr>
              <w:jc w:val="left"/>
              <w:rPr>
                <w:rFonts w:hint="eastAsia" w:ascii="宋体" w:hAnsi="宋体" w:cs="宋体"/>
                <w:szCs w:val="21"/>
                <w:highlight w:val="none"/>
              </w:rPr>
            </w:pPr>
            <w:r>
              <w:rPr>
                <w:highlight w:val="none"/>
              </w:rPr>
              <w:t>提供相关证明</w:t>
            </w:r>
            <w:r>
              <w:rPr>
                <w:color w:val="000000" w:themeColor="text1"/>
                <w:highlight w:val="none"/>
                <w14:textFill>
                  <w14:solidFill>
                    <w14:schemeClr w14:val="tx1"/>
                  </w14:solidFill>
                </w14:textFill>
              </w:rPr>
              <w:t>的扫描件/复印件</w:t>
            </w:r>
          </w:p>
        </w:tc>
      </w:tr>
      <w:tr w14:paraId="542DB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828" w:type="dxa"/>
            <w:vMerge w:val="continue"/>
            <w:vAlign w:val="center"/>
          </w:tcPr>
          <w:p w14:paraId="5C430CA3">
            <w:pPr>
              <w:jc w:val="center"/>
              <w:rPr>
                <w:rFonts w:hint="eastAsia" w:ascii="宋体" w:hAnsi="宋体" w:cs="宋体"/>
                <w:szCs w:val="21"/>
                <w:highlight w:val="none"/>
              </w:rPr>
            </w:pPr>
          </w:p>
        </w:tc>
        <w:tc>
          <w:tcPr>
            <w:tcW w:w="1149" w:type="dxa"/>
            <w:vMerge w:val="continue"/>
            <w:vAlign w:val="center"/>
          </w:tcPr>
          <w:p w14:paraId="1348B08B">
            <w:pPr>
              <w:jc w:val="center"/>
              <w:rPr>
                <w:rFonts w:hint="eastAsia" w:ascii="宋体" w:hAnsi="宋体" w:cs="宋体"/>
                <w:szCs w:val="21"/>
                <w:highlight w:val="none"/>
              </w:rPr>
            </w:pPr>
          </w:p>
        </w:tc>
        <w:tc>
          <w:tcPr>
            <w:tcW w:w="2811" w:type="dxa"/>
            <w:vAlign w:val="center"/>
          </w:tcPr>
          <w:p w14:paraId="66A98A7A">
            <w:pPr>
              <w:jc w:val="left"/>
              <w:rPr>
                <w:rFonts w:hint="eastAsia" w:ascii="宋体" w:hAnsi="宋体"/>
                <w:szCs w:val="21"/>
                <w:highlight w:val="none"/>
                <w:lang w:val="zh-TW"/>
              </w:rPr>
            </w:pPr>
            <w:r>
              <w:rPr>
                <w:rFonts w:hint="eastAsia"/>
                <w:color w:val="000000" w:themeColor="text1"/>
                <w:highlight w:val="none"/>
                <w:lang w:eastAsia="zh-CN"/>
                <w14:textFill>
                  <w14:solidFill>
                    <w14:schemeClr w14:val="tx1"/>
                  </w14:solidFill>
                </w14:textFill>
              </w:rPr>
              <w:t>供应商</w:t>
            </w:r>
            <w:r>
              <w:rPr>
                <w:color w:val="000000" w:themeColor="text1"/>
                <w:highlight w:val="none"/>
                <w14:textFill>
                  <w14:solidFill>
                    <w14:schemeClr w14:val="tx1"/>
                  </w14:solidFill>
                </w14:textFill>
              </w:rPr>
              <w:t>须能够提供增值税专用发票</w:t>
            </w:r>
          </w:p>
        </w:tc>
        <w:tc>
          <w:tcPr>
            <w:tcW w:w="5040" w:type="dxa"/>
            <w:vAlign w:val="center"/>
          </w:tcPr>
          <w:p w14:paraId="11325D30">
            <w:pPr>
              <w:jc w:val="left"/>
              <w:rPr>
                <w:highlight w:val="none"/>
              </w:rPr>
            </w:pPr>
            <w:r>
              <w:rPr>
                <w:color w:val="000000" w:themeColor="text1"/>
                <w:highlight w:val="none"/>
                <w14:textFill>
                  <w14:solidFill>
                    <w14:schemeClr w14:val="tx1"/>
                  </w14:solidFill>
                </w14:textFill>
              </w:rPr>
              <w:t>提供承诺书</w:t>
            </w:r>
          </w:p>
        </w:tc>
      </w:tr>
      <w:tr w14:paraId="38098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3" w:hRule="atLeast"/>
        </w:trPr>
        <w:tc>
          <w:tcPr>
            <w:tcW w:w="828" w:type="dxa"/>
            <w:vMerge w:val="continue"/>
            <w:vAlign w:val="center"/>
          </w:tcPr>
          <w:p w14:paraId="7A137D8B">
            <w:pPr>
              <w:jc w:val="center"/>
              <w:rPr>
                <w:rFonts w:hint="eastAsia" w:ascii="宋体" w:hAnsi="宋体" w:cs="宋体"/>
                <w:szCs w:val="21"/>
                <w:highlight w:val="none"/>
              </w:rPr>
            </w:pPr>
          </w:p>
        </w:tc>
        <w:tc>
          <w:tcPr>
            <w:tcW w:w="1149" w:type="dxa"/>
            <w:vMerge w:val="continue"/>
            <w:vAlign w:val="center"/>
          </w:tcPr>
          <w:p w14:paraId="58C43C20">
            <w:pPr>
              <w:jc w:val="center"/>
              <w:rPr>
                <w:rFonts w:hint="eastAsia" w:ascii="宋体" w:hAnsi="宋体" w:cs="宋体"/>
                <w:szCs w:val="21"/>
                <w:highlight w:val="none"/>
              </w:rPr>
            </w:pPr>
          </w:p>
        </w:tc>
        <w:tc>
          <w:tcPr>
            <w:tcW w:w="2811" w:type="dxa"/>
            <w:vAlign w:val="center"/>
          </w:tcPr>
          <w:p w14:paraId="7B437090">
            <w:pPr>
              <w:jc w:val="left"/>
              <w:rPr>
                <w:rFonts w:hint="eastAsia" w:ascii="宋体" w:hAnsi="宋体"/>
                <w:szCs w:val="21"/>
                <w:highlight w:val="none"/>
              </w:rPr>
            </w:pPr>
            <w:r>
              <w:rPr>
                <w:rFonts w:hint="eastAsia"/>
                <w:highlight w:val="none"/>
              </w:rPr>
              <w:t>提供</w:t>
            </w:r>
            <w:r>
              <w:rPr>
                <w:highlight w:val="none"/>
              </w:rPr>
              <w:t>2023</w:t>
            </w:r>
            <w:r>
              <w:rPr>
                <w:rFonts w:hint="eastAsia"/>
                <w:highlight w:val="none"/>
              </w:rPr>
              <w:t>年</w:t>
            </w:r>
            <w:r>
              <w:rPr>
                <w:highlight w:val="none"/>
              </w:rPr>
              <w:t>1</w:t>
            </w:r>
            <w:r>
              <w:rPr>
                <w:rFonts w:hint="eastAsia"/>
                <w:highlight w:val="none"/>
              </w:rPr>
              <w:t>月</w:t>
            </w:r>
            <w:r>
              <w:rPr>
                <w:highlight w:val="none"/>
              </w:rPr>
              <w:t>1</w:t>
            </w:r>
            <w:r>
              <w:rPr>
                <w:rFonts w:hint="eastAsia"/>
                <w:highlight w:val="none"/>
              </w:rPr>
              <w:t>日以来签订的</w:t>
            </w:r>
            <w:r>
              <w:rPr>
                <w:highlight w:val="none"/>
                <w:lang w:eastAsia="zh-CN"/>
              </w:rPr>
              <w:t>软件开发项目</w:t>
            </w:r>
            <w:r>
              <w:rPr>
                <w:rFonts w:hint="eastAsia"/>
                <w:highlight w:val="none"/>
              </w:rPr>
              <w:t>案例</w:t>
            </w:r>
            <w:r>
              <w:rPr>
                <w:highlight w:val="none"/>
              </w:rPr>
              <w:t>1</w:t>
            </w:r>
            <w:r>
              <w:rPr>
                <w:rFonts w:hint="eastAsia"/>
                <w:highlight w:val="none"/>
              </w:rPr>
              <w:t>个，金额不低于</w:t>
            </w:r>
            <w:r>
              <w:rPr>
                <w:rFonts w:hint="eastAsia"/>
                <w:highlight w:val="none"/>
                <w:lang w:val="en-US" w:eastAsia="zh-CN"/>
              </w:rPr>
              <w:t>2</w:t>
            </w:r>
            <w:r>
              <w:rPr>
                <w:highlight w:val="none"/>
                <w:lang w:eastAsia="zh-CN"/>
              </w:rPr>
              <w:t>0</w:t>
            </w:r>
            <w:r>
              <w:rPr>
                <w:rFonts w:hint="eastAsia"/>
                <w:highlight w:val="none"/>
              </w:rPr>
              <w:t>万元</w:t>
            </w:r>
          </w:p>
        </w:tc>
        <w:tc>
          <w:tcPr>
            <w:tcW w:w="5040" w:type="dxa"/>
            <w:vAlign w:val="center"/>
          </w:tcPr>
          <w:p w14:paraId="65423574">
            <w:pPr>
              <w:jc w:val="left"/>
              <w:rPr>
                <w:rFonts w:hint="eastAsia" w:ascii="宋体" w:hAnsi="宋体" w:cs="宋体"/>
                <w:szCs w:val="21"/>
                <w:highlight w:val="none"/>
              </w:rPr>
            </w:pPr>
            <w:r>
              <w:rPr>
                <w:rFonts w:hint="eastAsia"/>
                <w:highlight w:val="none"/>
              </w:rPr>
              <w:t>提供合同（或框架协议）关键页扫描件</w:t>
            </w:r>
            <w:r>
              <w:rPr>
                <w:highlight w:val="none"/>
              </w:rPr>
              <w:t>/</w:t>
            </w:r>
            <w:r>
              <w:rPr>
                <w:rFonts w:hint="eastAsia"/>
                <w:highlight w:val="none"/>
              </w:rPr>
              <w:t>复印件，包括但不限于合同（或框架协议）首页、服务内容页、金额页、签字盖章页等，业绩金额以合同（框架协议业绩金额以</w:t>
            </w:r>
            <w:r>
              <w:rPr>
                <w:highlight w:val="none"/>
              </w:rPr>
              <w:t>2023</w:t>
            </w:r>
            <w:r>
              <w:rPr>
                <w:rFonts w:hint="eastAsia"/>
                <w:highlight w:val="none"/>
              </w:rPr>
              <w:t>年</w:t>
            </w:r>
            <w:r>
              <w:rPr>
                <w:highlight w:val="none"/>
              </w:rPr>
              <w:t>1</w:t>
            </w:r>
            <w:r>
              <w:rPr>
                <w:rFonts w:hint="eastAsia"/>
                <w:highlight w:val="none"/>
              </w:rPr>
              <w:t>月</w:t>
            </w:r>
            <w:r>
              <w:rPr>
                <w:highlight w:val="none"/>
              </w:rPr>
              <w:t>1</w:t>
            </w:r>
            <w:r>
              <w:rPr>
                <w:rFonts w:hint="eastAsia"/>
                <w:highlight w:val="none"/>
              </w:rPr>
              <w:t>日之后订单）对应的结算发票金额为准，提供发票扫描件及发票在网上税务系统（</w:t>
            </w:r>
            <w:r>
              <w:rPr>
                <w:highlight w:val="none"/>
              </w:rPr>
              <w:t>https://inv-veri.chinatax.gov.cn/</w:t>
            </w:r>
            <w:r>
              <w:rPr>
                <w:rFonts w:hint="eastAsia"/>
                <w:highlight w:val="none"/>
              </w:rPr>
              <w:t>）查询截图，证明材料须清晰完整</w:t>
            </w:r>
          </w:p>
        </w:tc>
      </w:tr>
      <w:tr w14:paraId="1D0C9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828" w:type="dxa"/>
            <w:vMerge w:val="continue"/>
            <w:vAlign w:val="center"/>
          </w:tcPr>
          <w:p w14:paraId="60AA683B">
            <w:pPr>
              <w:jc w:val="center"/>
              <w:rPr>
                <w:rFonts w:hint="eastAsia" w:ascii="宋体" w:hAnsi="宋体" w:cs="宋体"/>
                <w:szCs w:val="21"/>
                <w:highlight w:val="none"/>
              </w:rPr>
            </w:pPr>
          </w:p>
        </w:tc>
        <w:tc>
          <w:tcPr>
            <w:tcW w:w="1149" w:type="dxa"/>
            <w:vMerge w:val="continue"/>
            <w:vAlign w:val="center"/>
          </w:tcPr>
          <w:p w14:paraId="046D8D35">
            <w:pPr>
              <w:jc w:val="center"/>
              <w:rPr>
                <w:rFonts w:hint="eastAsia" w:ascii="宋体" w:hAnsi="宋体" w:cs="宋体"/>
                <w:szCs w:val="21"/>
                <w:highlight w:val="none"/>
              </w:rPr>
            </w:pPr>
          </w:p>
        </w:tc>
        <w:tc>
          <w:tcPr>
            <w:tcW w:w="2811" w:type="dxa"/>
            <w:vAlign w:val="center"/>
          </w:tcPr>
          <w:p w14:paraId="754BC245">
            <w:pPr>
              <w:rPr>
                <w:rFonts w:hint="eastAsia" w:ascii="宋体" w:hAnsi="宋体"/>
                <w:szCs w:val="21"/>
                <w:highlight w:val="none"/>
              </w:rPr>
            </w:pPr>
            <w:r>
              <w:rPr>
                <w:rFonts w:hint="eastAsia"/>
                <w:highlight w:val="none"/>
              </w:rPr>
              <w:t>对在“国家企业信用信息公示系统”中被列入“经营异常名录”、“严重违法失信名单”的</w:t>
            </w:r>
            <w:r>
              <w:rPr>
                <w:rFonts w:hint="eastAsia"/>
                <w:highlight w:val="none"/>
                <w:lang w:eastAsia="zh-CN"/>
              </w:rPr>
              <w:t>供应商</w:t>
            </w:r>
            <w:r>
              <w:rPr>
                <w:rFonts w:hint="eastAsia"/>
                <w:highlight w:val="none"/>
              </w:rPr>
              <w:t>，对在“信用中国”网站</w:t>
            </w:r>
            <w:r>
              <w:rPr>
                <w:highlight w:val="none"/>
              </w:rPr>
              <w:t>(www.creditchina.gov.cn)</w:t>
            </w:r>
            <w:r>
              <w:rPr>
                <w:rFonts w:hint="eastAsia"/>
                <w:highlight w:val="none"/>
              </w:rPr>
              <w:t>中被列入“失信被执行人”、“重大税收违法失信主体”、</w:t>
            </w:r>
            <w:r>
              <w:rPr>
                <w:highlight w:val="none"/>
              </w:rPr>
              <w:t>“政府采购严重违法失信行为记录名单”的</w:t>
            </w:r>
            <w:r>
              <w:rPr>
                <w:rFonts w:hint="eastAsia"/>
                <w:highlight w:val="none"/>
                <w:lang w:eastAsia="zh-CN"/>
              </w:rPr>
              <w:t>供应商</w:t>
            </w:r>
            <w:r>
              <w:rPr>
                <w:highlight w:val="none"/>
              </w:rPr>
              <w:t>，拒绝其参与本项目应答活动；</w:t>
            </w:r>
          </w:p>
        </w:tc>
        <w:tc>
          <w:tcPr>
            <w:tcW w:w="5040" w:type="dxa"/>
            <w:vAlign w:val="center"/>
          </w:tcPr>
          <w:p w14:paraId="10B579C1">
            <w:pPr>
              <w:spacing w:line="276" w:lineRule="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提供相关网页查询截图</w:t>
            </w:r>
          </w:p>
        </w:tc>
      </w:tr>
      <w:tr w14:paraId="517A2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828" w:type="dxa"/>
            <w:vMerge w:val="continue"/>
            <w:vAlign w:val="center"/>
          </w:tcPr>
          <w:p w14:paraId="086222E0">
            <w:pPr>
              <w:jc w:val="center"/>
              <w:rPr>
                <w:rFonts w:hint="eastAsia" w:ascii="宋体" w:hAnsi="宋体" w:cs="宋体"/>
                <w:szCs w:val="21"/>
                <w:highlight w:val="none"/>
              </w:rPr>
            </w:pPr>
          </w:p>
        </w:tc>
        <w:tc>
          <w:tcPr>
            <w:tcW w:w="1149" w:type="dxa"/>
            <w:vMerge w:val="continue"/>
            <w:vAlign w:val="center"/>
          </w:tcPr>
          <w:p w14:paraId="37E091D0">
            <w:pPr>
              <w:jc w:val="center"/>
              <w:rPr>
                <w:rFonts w:hint="eastAsia" w:ascii="宋体" w:hAnsi="宋体" w:cs="宋体"/>
                <w:szCs w:val="21"/>
                <w:highlight w:val="none"/>
              </w:rPr>
            </w:pPr>
          </w:p>
        </w:tc>
        <w:tc>
          <w:tcPr>
            <w:tcW w:w="2811" w:type="dxa"/>
            <w:vAlign w:val="center"/>
          </w:tcPr>
          <w:p w14:paraId="0700C02D">
            <w:pPr>
              <w:rPr>
                <w:highlight w:val="none"/>
              </w:rPr>
            </w:pPr>
            <w:r>
              <w:rPr>
                <w:rFonts w:hint="eastAsia"/>
                <w:color w:val="000000" w:themeColor="text1"/>
                <w:highlight w:val="none"/>
                <w:lang w:eastAsia="zh-CN"/>
                <w14:textFill>
                  <w14:solidFill>
                    <w14:schemeClr w14:val="tx1"/>
                  </w14:solidFill>
                </w14:textFill>
              </w:rPr>
              <w:t>供应商</w:t>
            </w:r>
            <w:r>
              <w:rPr>
                <w:color w:val="000000" w:themeColor="text1"/>
                <w:highlight w:val="none"/>
                <w14:textFill>
                  <w14:solidFill>
                    <w14:schemeClr w14:val="tx1"/>
                  </w14:solidFill>
                </w14:textFill>
              </w:rPr>
              <w:t>不得存在下列情形之一：</w:t>
            </w:r>
            <w:r>
              <w:rPr>
                <w:color w:val="000000" w:themeColor="text1"/>
                <w:highlight w:val="none"/>
                <w14:textFill>
                  <w14:solidFill>
                    <w14:schemeClr w14:val="tx1"/>
                  </w14:solidFill>
                </w14:textFill>
              </w:rPr>
              <w:br w:type="textWrapping"/>
            </w:r>
            <w:r>
              <w:rPr>
                <w:highlight w:val="none"/>
              </w:rPr>
              <w:t>1.</w:t>
            </w:r>
            <w:r>
              <w:rPr>
                <w:rFonts w:hint="eastAsia"/>
                <w:highlight w:val="none"/>
                <w:lang w:eastAsia="zh-CN"/>
              </w:rPr>
              <w:t>供应商</w:t>
            </w:r>
            <w:r>
              <w:rPr>
                <w:rFonts w:hint="eastAsia"/>
                <w:highlight w:val="none"/>
              </w:rPr>
              <w:t>被责令停业或破产状态的；</w:t>
            </w:r>
          </w:p>
          <w:p w14:paraId="27D00B71">
            <w:pPr>
              <w:rPr>
                <w:highlight w:val="none"/>
              </w:rPr>
            </w:pPr>
            <w:r>
              <w:rPr>
                <w:highlight w:val="none"/>
              </w:rPr>
              <w:t>2.</w:t>
            </w:r>
            <w:r>
              <w:rPr>
                <w:rFonts w:hint="eastAsia"/>
                <w:highlight w:val="none"/>
                <w:lang w:eastAsia="zh-CN"/>
              </w:rPr>
              <w:t>供应商</w:t>
            </w:r>
            <w:r>
              <w:rPr>
                <w:rFonts w:hint="eastAsia"/>
                <w:highlight w:val="none"/>
              </w:rPr>
              <w:t>被暂停或取消投标资格的；</w:t>
            </w:r>
          </w:p>
          <w:p w14:paraId="55F61511">
            <w:pPr>
              <w:rPr>
                <w:highlight w:val="none"/>
              </w:rPr>
            </w:pPr>
            <w:r>
              <w:rPr>
                <w:highlight w:val="none"/>
              </w:rPr>
              <w:t>3.</w:t>
            </w:r>
            <w:r>
              <w:rPr>
                <w:rFonts w:hint="eastAsia"/>
                <w:highlight w:val="none"/>
                <w:lang w:eastAsia="zh-CN"/>
              </w:rPr>
              <w:t>供应商</w:t>
            </w:r>
            <w:r>
              <w:rPr>
                <w:rFonts w:hint="eastAsia"/>
                <w:highlight w:val="none"/>
              </w:rPr>
              <w:t>财产被接管、查封、扣押或冻结的；</w:t>
            </w:r>
          </w:p>
          <w:p w14:paraId="72FC9403">
            <w:pPr>
              <w:rPr>
                <w:highlight w:val="none"/>
              </w:rPr>
            </w:pPr>
            <w:r>
              <w:rPr>
                <w:highlight w:val="none"/>
              </w:rPr>
              <w:t>4.</w:t>
            </w:r>
            <w:r>
              <w:rPr>
                <w:rFonts w:hint="eastAsia"/>
                <w:highlight w:val="none"/>
                <w:lang w:eastAsia="zh-CN"/>
              </w:rPr>
              <w:t>供应商</w:t>
            </w:r>
            <w:r>
              <w:rPr>
                <w:rFonts w:hint="eastAsia"/>
                <w:highlight w:val="none"/>
              </w:rPr>
              <w:t>近三年（</w:t>
            </w:r>
            <w:r>
              <w:rPr>
                <w:highlight w:val="none"/>
              </w:rPr>
              <w:t>2023</w:t>
            </w:r>
            <w:r>
              <w:rPr>
                <w:rFonts w:hint="eastAsia"/>
                <w:highlight w:val="none"/>
              </w:rPr>
              <w:t>年</w:t>
            </w:r>
            <w:r>
              <w:rPr>
                <w:highlight w:val="none"/>
              </w:rPr>
              <w:t>1</w:t>
            </w:r>
            <w:r>
              <w:rPr>
                <w:rFonts w:hint="eastAsia"/>
                <w:highlight w:val="none"/>
              </w:rPr>
              <w:t>月</w:t>
            </w:r>
            <w:r>
              <w:rPr>
                <w:highlight w:val="none"/>
              </w:rPr>
              <w:t>1</w:t>
            </w:r>
            <w:r>
              <w:rPr>
                <w:rFonts w:hint="eastAsia"/>
                <w:highlight w:val="none"/>
              </w:rPr>
              <w:t>日至本项目评审之日），在河南</w:t>
            </w:r>
            <w:r>
              <w:rPr>
                <w:rFonts w:hint="eastAsia"/>
                <w:highlight w:val="none"/>
                <w:lang w:val="en-US" w:eastAsia="zh-CN"/>
              </w:rPr>
              <w:t>产互联</w:t>
            </w:r>
            <w:r>
              <w:rPr>
                <w:rFonts w:hint="eastAsia"/>
                <w:highlight w:val="none"/>
              </w:rPr>
              <w:t>组织的采购活动中，被认定存在串标、围标、骗标等行为的。</w:t>
            </w:r>
          </w:p>
          <w:p w14:paraId="060BE5B5">
            <w:pPr>
              <w:jc w:val="left"/>
              <w:rPr>
                <w:rFonts w:hint="eastAsia" w:ascii="宋体" w:hAnsi="宋体"/>
                <w:szCs w:val="21"/>
                <w:highlight w:val="none"/>
              </w:rPr>
            </w:pPr>
          </w:p>
        </w:tc>
        <w:tc>
          <w:tcPr>
            <w:tcW w:w="5040" w:type="dxa"/>
            <w:vAlign w:val="center"/>
          </w:tcPr>
          <w:p w14:paraId="5D423F10">
            <w:pPr>
              <w:spacing w:line="276" w:lineRule="auto"/>
              <w:rPr>
                <w:rFonts w:hint="eastAsia" w:ascii="宋体" w:hAnsi="宋体" w:cs="宋体"/>
                <w:szCs w:val="21"/>
                <w:highlight w:val="none"/>
              </w:rPr>
            </w:pPr>
            <w:r>
              <w:rPr>
                <w:color w:val="000000" w:themeColor="text1"/>
                <w:highlight w:val="none"/>
                <w14:textFill>
                  <w14:solidFill>
                    <w14:schemeClr w14:val="tx1"/>
                  </w14:solidFill>
                </w14:textFill>
              </w:rPr>
              <w:t>提供承诺书</w:t>
            </w:r>
          </w:p>
        </w:tc>
      </w:tr>
      <w:tr w14:paraId="28FC6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28" w:type="dxa"/>
            <w:vMerge w:val="continue"/>
            <w:vAlign w:val="center"/>
          </w:tcPr>
          <w:p w14:paraId="558D5278">
            <w:pPr>
              <w:jc w:val="center"/>
              <w:rPr>
                <w:rFonts w:hint="eastAsia" w:ascii="宋体" w:hAnsi="宋体" w:cs="宋体"/>
                <w:szCs w:val="21"/>
                <w:highlight w:val="none"/>
              </w:rPr>
            </w:pPr>
          </w:p>
        </w:tc>
        <w:tc>
          <w:tcPr>
            <w:tcW w:w="1149" w:type="dxa"/>
            <w:vMerge w:val="continue"/>
            <w:vAlign w:val="center"/>
          </w:tcPr>
          <w:p w14:paraId="29A1A31B">
            <w:pPr>
              <w:jc w:val="center"/>
              <w:rPr>
                <w:rFonts w:hint="eastAsia" w:ascii="宋体" w:hAnsi="宋体" w:cs="宋体"/>
                <w:szCs w:val="21"/>
                <w:highlight w:val="none"/>
              </w:rPr>
            </w:pPr>
          </w:p>
        </w:tc>
        <w:tc>
          <w:tcPr>
            <w:tcW w:w="2811" w:type="dxa"/>
            <w:vAlign w:val="center"/>
          </w:tcPr>
          <w:p w14:paraId="38FB10A9">
            <w:pPr>
              <w:jc w:val="left"/>
              <w:rPr>
                <w:rFonts w:hint="eastAsia" w:ascii="宋体" w:hAnsi="宋体" w:cs="宋体"/>
                <w:szCs w:val="21"/>
                <w:highlight w:val="none"/>
              </w:rPr>
            </w:pPr>
            <w:r>
              <w:rPr>
                <w:rFonts w:hint="eastAsia"/>
                <w:highlight w:val="none"/>
              </w:rPr>
              <w:t>本项目不允许联合体应答，中选后不得转包</w:t>
            </w:r>
          </w:p>
        </w:tc>
        <w:tc>
          <w:tcPr>
            <w:tcW w:w="5040" w:type="dxa"/>
            <w:shd w:val="clear" w:color="auto" w:fill="auto"/>
            <w:vAlign w:val="center"/>
          </w:tcPr>
          <w:p w14:paraId="12BAF2AC">
            <w:pPr>
              <w:spacing w:line="276" w:lineRule="auto"/>
              <w:rPr>
                <w:rFonts w:hint="eastAsia" w:ascii="宋体" w:hAnsi="宋体" w:eastAsia="宋体" w:cs="宋体"/>
                <w:kern w:val="2"/>
                <w:sz w:val="21"/>
                <w:szCs w:val="21"/>
                <w:highlight w:val="none"/>
                <w:lang w:val="en-US" w:eastAsia="zh-CN" w:bidi="ar-SA"/>
              </w:rPr>
            </w:pPr>
            <w:r>
              <w:rPr>
                <w:color w:val="000000" w:themeColor="text1"/>
                <w:highlight w:val="none"/>
                <w14:textFill>
                  <w14:solidFill>
                    <w14:schemeClr w14:val="tx1"/>
                  </w14:solidFill>
                </w14:textFill>
              </w:rPr>
              <w:t>提供承诺书</w:t>
            </w:r>
          </w:p>
        </w:tc>
      </w:tr>
      <w:tr w14:paraId="7ECE5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828" w:type="dxa"/>
            <w:vMerge w:val="restart"/>
            <w:vAlign w:val="center"/>
          </w:tcPr>
          <w:p w14:paraId="76965A66">
            <w:pPr>
              <w:jc w:val="center"/>
              <w:rPr>
                <w:rFonts w:hint="eastAsia" w:ascii="宋体" w:hAnsi="宋体" w:cs="宋体"/>
                <w:szCs w:val="21"/>
                <w:highlight w:val="none"/>
              </w:rPr>
            </w:pPr>
            <w:r>
              <w:rPr>
                <w:rFonts w:hint="eastAsia" w:ascii="宋体" w:hAnsi="宋体" w:cs="宋体"/>
                <w:szCs w:val="21"/>
                <w:highlight w:val="none"/>
              </w:rPr>
              <w:t>2.1.3</w:t>
            </w:r>
          </w:p>
        </w:tc>
        <w:tc>
          <w:tcPr>
            <w:tcW w:w="1149" w:type="dxa"/>
            <w:vMerge w:val="restart"/>
            <w:vAlign w:val="center"/>
          </w:tcPr>
          <w:p w14:paraId="0116E130">
            <w:pPr>
              <w:jc w:val="center"/>
              <w:rPr>
                <w:rFonts w:hint="eastAsia" w:ascii="宋体" w:hAnsi="宋体" w:cs="宋体"/>
                <w:szCs w:val="21"/>
                <w:highlight w:val="none"/>
              </w:rPr>
            </w:pPr>
            <w:r>
              <w:rPr>
                <w:rFonts w:hint="eastAsia" w:ascii="宋体" w:hAnsi="宋体" w:cs="宋体"/>
                <w:szCs w:val="21"/>
                <w:highlight w:val="none"/>
              </w:rPr>
              <w:t>响应性</w:t>
            </w:r>
          </w:p>
          <w:p w14:paraId="65C991BA">
            <w:pPr>
              <w:jc w:val="center"/>
              <w:rPr>
                <w:rFonts w:hint="eastAsia" w:ascii="宋体" w:hAnsi="宋体" w:cs="宋体"/>
                <w:szCs w:val="21"/>
                <w:highlight w:val="none"/>
              </w:rPr>
            </w:pPr>
            <w:r>
              <w:rPr>
                <w:rFonts w:hint="eastAsia" w:ascii="宋体" w:hAnsi="宋体" w:cs="宋体"/>
                <w:szCs w:val="21"/>
                <w:highlight w:val="none"/>
              </w:rPr>
              <w:t>评审标准</w:t>
            </w:r>
          </w:p>
        </w:tc>
        <w:tc>
          <w:tcPr>
            <w:tcW w:w="2811" w:type="dxa"/>
            <w:vAlign w:val="center"/>
          </w:tcPr>
          <w:p w14:paraId="00E87B9F">
            <w:pPr>
              <w:rPr>
                <w:rFonts w:hint="eastAsia" w:ascii="宋体" w:hAnsi="宋体" w:eastAsia="宋体" w:cs="宋体"/>
                <w:szCs w:val="21"/>
                <w:highlight w:val="none"/>
                <w:lang w:eastAsia="zh-CN"/>
              </w:rPr>
            </w:pPr>
            <w:r>
              <w:rPr>
                <w:rFonts w:hint="eastAsia" w:ascii="宋体" w:hAnsi="宋体" w:cs="宋体"/>
                <w:szCs w:val="21"/>
                <w:highlight w:val="none"/>
              </w:rPr>
              <w:t>响应</w:t>
            </w:r>
            <w:r>
              <w:rPr>
                <w:rFonts w:hint="eastAsia" w:ascii="宋体" w:hAnsi="宋体" w:cs="宋体"/>
                <w:szCs w:val="21"/>
                <w:highlight w:val="none"/>
                <w:lang w:val="en-US" w:eastAsia="zh-CN"/>
              </w:rPr>
              <w:t>内容</w:t>
            </w:r>
          </w:p>
        </w:tc>
        <w:tc>
          <w:tcPr>
            <w:tcW w:w="5040" w:type="dxa"/>
            <w:vAlign w:val="center"/>
          </w:tcPr>
          <w:p w14:paraId="71DB22AE">
            <w:pPr>
              <w:outlineLvl w:val="1"/>
              <w:rPr>
                <w:rFonts w:hint="eastAsia" w:ascii="宋体" w:hAnsi="宋体" w:cs="宋体"/>
                <w:szCs w:val="21"/>
                <w:highlight w:val="none"/>
              </w:rPr>
            </w:pPr>
            <w:bookmarkStart w:id="393" w:name="_Toc22007"/>
            <w:bookmarkStart w:id="394" w:name="_Toc7057"/>
            <w:bookmarkStart w:id="395" w:name="_Toc1310"/>
            <w:bookmarkStart w:id="396" w:name="_Toc16447"/>
            <w:r>
              <w:rPr>
                <w:rFonts w:hint="eastAsia" w:ascii="宋体" w:hAnsi="宋体" w:cs="宋体"/>
                <w:szCs w:val="21"/>
                <w:highlight w:val="none"/>
              </w:rPr>
              <w:t>符合第二章“供应商须知前附表”的相关规定</w:t>
            </w:r>
            <w:bookmarkEnd w:id="393"/>
            <w:bookmarkEnd w:id="394"/>
            <w:bookmarkEnd w:id="395"/>
            <w:bookmarkEnd w:id="396"/>
          </w:p>
        </w:tc>
      </w:tr>
      <w:tr w14:paraId="069D7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828" w:type="dxa"/>
            <w:vMerge w:val="continue"/>
            <w:vAlign w:val="center"/>
          </w:tcPr>
          <w:p w14:paraId="45E46980">
            <w:pPr>
              <w:jc w:val="center"/>
              <w:rPr>
                <w:rFonts w:hint="eastAsia" w:ascii="宋体" w:hAnsi="宋体" w:cs="宋体"/>
                <w:szCs w:val="21"/>
                <w:highlight w:val="none"/>
              </w:rPr>
            </w:pPr>
          </w:p>
        </w:tc>
        <w:tc>
          <w:tcPr>
            <w:tcW w:w="1149" w:type="dxa"/>
            <w:vMerge w:val="continue"/>
            <w:vAlign w:val="center"/>
          </w:tcPr>
          <w:p w14:paraId="2D1A4CBB">
            <w:pPr>
              <w:jc w:val="center"/>
              <w:rPr>
                <w:rFonts w:hint="eastAsia" w:ascii="宋体" w:hAnsi="宋体" w:cs="宋体"/>
                <w:szCs w:val="21"/>
                <w:highlight w:val="none"/>
              </w:rPr>
            </w:pPr>
          </w:p>
        </w:tc>
        <w:tc>
          <w:tcPr>
            <w:tcW w:w="2811" w:type="dxa"/>
            <w:vAlign w:val="center"/>
          </w:tcPr>
          <w:p w14:paraId="2A128331">
            <w:pP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响应采购需求</w:t>
            </w:r>
          </w:p>
        </w:tc>
        <w:tc>
          <w:tcPr>
            <w:tcW w:w="5040" w:type="dxa"/>
            <w:vAlign w:val="center"/>
          </w:tcPr>
          <w:p w14:paraId="7801EF0D">
            <w:pPr>
              <w:outlineLvl w:val="1"/>
              <w:rPr>
                <w:rFonts w:hint="default" w:ascii="宋体" w:hAnsi="宋体" w:eastAsia="宋体" w:cs="宋体"/>
                <w:szCs w:val="21"/>
                <w:highlight w:val="none"/>
                <w:lang w:val="en-US" w:eastAsia="zh-CN"/>
              </w:rPr>
            </w:pPr>
            <w:r>
              <w:rPr>
                <w:rFonts w:hint="eastAsia" w:ascii="宋体" w:hAnsi="宋体" w:cs="宋体"/>
                <w:szCs w:val="21"/>
                <w:highlight w:val="none"/>
              </w:rPr>
              <w:t>符合第</w:t>
            </w:r>
            <w:r>
              <w:rPr>
                <w:rFonts w:hint="eastAsia" w:ascii="宋体" w:hAnsi="宋体" w:cs="宋体"/>
                <w:szCs w:val="21"/>
                <w:highlight w:val="none"/>
                <w:lang w:val="en-US" w:eastAsia="zh-CN"/>
              </w:rPr>
              <w:t>五</w:t>
            </w:r>
            <w:r>
              <w:rPr>
                <w:rFonts w:hint="eastAsia" w:ascii="宋体" w:hAnsi="宋体" w:cs="宋体"/>
                <w:szCs w:val="21"/>
                <w:highlight w:val="none"/>
              </w:rPr>
              <w:t>章“</w:t>
            </w:r>
            <w:r>
              <w:rPr>
                <w:rFonts w:hint="eastAsia" w:ascii="宋体" w:hAnsi="宋体" w:cs="宋体"/>
                <w:szCs w:val="21"/>
                <w:highlight w:val="none"/>
                <w:lang w:val="en-US" w:eastAsia="zh-CN"/>
              </w:rPr>
              <w:t>采购需求</w:t>
            </w:r>
            <w:r>
              <w:rPr>
                <w:rFonts w:hint="eastAsia" w:ascii="宋体" w:hAnsi="宋体" w:cs="宋体"/>
                <w:szCs w:val="21"/>
                <w:highlight w:val="none"/>
              </w:rPr>
              <w:t>”的</w:t>
            </w:r>
            <w:r>
              <w:rPr>
                <w:rFonts w:hint="eastAsia" w:ascii="宋体" w:hAnsi="宋体" w:cs="宋体"/>
                <w:szCs w:val="21"/>
                <w:highlight w:val="none"/>
                <w:lang w:eastAsia="zh-CN"/>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szCs w:val="21"/>
                <w:highlight w:val="none"/>
                <w:lang w:val="en-US" w:eastAsia="zh-CN"/>
              </w:rPr>
              <w:t>技术要求</w:t>
            </w:r>
          </w:p>
        </w:tc>
      </w:tr>
      <w:tr w14:paraId="3A84B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28" w:type="dxa"/>
            <w:vMerge w:val="continue"/>
            <w:vAlign w:val="center"/>
          </w:tcPr>
          <w:p w14:paraId="1F4D4D23">
            <w:pPr>
              <w:jc w:val="center"/>
              <w:rPr>
                <w:rFonts w:hint="eastAsia" w:ascii="宋体" w:hAnsi="宋体" w:cs="宋体"/>
                <w:szCs w:val="21"/>
                <w:highlight w:val="none"/>
              </w:rPr>
            </w:pPr>
          </w:p>
        </w:tc>
        <w:tc>
          <w:tcPr>
            <w:tcW w:w="1149" w:type="dxa"/>
            <w:vMerge w:val="continue"/>
            <w:vAlign w:val="center"/>
          </w:tcPr>
          <w:p w14:paraId="070BB9E7">
            <w:pPr>
              <w:jc w:val="center"/>
              <w:rPr>
                <w:rFonts w:hint="eastAsia" w:ascii="宋体" w:hAnsi="宋体" w:cs="宋体"/>
                <w:szCs w:val="21"/>
                <w:highlight w:val="none"/>
              </w:rPr>
            </w:pPr>
          </w:p>
        </w:tc>
        <w:tc>
          <w:tcPr>
            <w:tcW w:w="2811" w:type="dxa"/>
            <w:vAlign w:val="center"/>
          </w:tcPr>
          <w:p w14:paraId="67E78B1D">
            <w:pPr>
              <w:rPr>
                <w:rFonts w:hint="eastAsia" w:ascii="宋体" w:hAnsi="宋体" w:cs="宋体"/>
                <w:szCs w:val="21"/>
                <w:highlight w:val="none"/>
              </w:rPr>
            </w:pPr>
            <w:r>
              <w:rPr>
                <w:rFonts w:hint="eastAsia" w:ascii="宋体" w:hAnsi="宋体" w:cs="宋体"/>
                <w:szCs w:val="21"/>
                <w:highlight w:val="none"/>
              </w:rPr>
              <w:t>服务期限</w:t>
            </w:r>
          </w:p>
        </w:tc>
        <w:tc>
          <w:tcPr>
            <w:tcW w:w="5040" w:type="dxa"/>
            <w:vAlign w:val="center"/>
          </w:tcPr>
          <w:p w14:paraId="38D0BA37">
            <w:pPr>
              <w:spacing w:line="312" w:lineRule="auto"/>
              <w:rPr>
                <w:rFonts w:hint="eastAsia" w:ascii="宋体" w:hAnsi="宋体" w:cs="宋体"/>
                <w:szCs w:val="21"/>
                <w:highlight w:val="none"/>
              </w:rPr>
            </w:pPr>
            <w:r>
              <w:rPr>
                <w:rFonts w:hint="eastAsia" w:ascii="宋体" w:hAnsi="宋体" w:cs="宋体"/>
                <w:szCs w:val="21"/>
                <w:highlight w:val="none"/>
              </w:rPr>
              <w:t>符合第二章“供应商须知前附表”的相关规定</w:t>
            </w:r>
          </w:p>
        </w:tc>
      </w:tr>
      <w:tr w14:paraId="4171B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28" w:type="dxa"/>
            <w:vMerge w:val="continue"/>
            <w:vAlign w:val="center"/>
          </w:tcPr>
          <w:p w14:paraId="0D816421">
            <w:pPr>
              <w:jc w:val="center"/>
              <w:rPr>
                <w:rFonts w:hint="eastAsia" w:ascii="宋体" w:hAnsi="宋体" w:cs="宋体"/>
                <w:szCs w:val="21"/>
                <w:highlight w:val="none"/>
              </w:rPr>
            </w:pPr>
          </w:p>
        </w:tc>
        <w:tc>
          <w:tcPr>
            <w:tcW w:w="1149" w:type="dxa"/>
            <w:vMerge w:val="continue"/>
            <w:vAlign w:val="center"/>
          </w:tcPr>
          <w:p w14:paraId="6C9CA54D">
            <w:pPr>
              <w:jc w:val="center"/>
              <w:rPr>
                <w:rFonts w:hint="eastAsia" w:ascii="宋体" w:hAnsi="宋体" w:cs="宋体"/>
                <w:szCs w:val="21"/>
                <w:highlight w:val="none"/>
              </w:rPr>
            </w:pPr>
          </w:p>
        </w:tc>
        <w:tc>
          <w:tcPr>
            <w:tcW w:w="2811" w:type="dxa"/>
            <w:vAlign w:val="center"/>
          </w:tcPr>
          <w:p w14:paraId="72934697">
            <w:pPr>
              <w:rPr>
                <w:rFonts w:hint="eastAsia" w:ascii="宋体" w:hAnsi="宋体" w:eastAsia="宋体" w:cs="宋体"/>
                <w:szCs w:val="21"/>
                <w:highlight w:val="none"/>
                <w:lang w:eastAsia="zh-CN"/>
              </w:rPr>
            </w:pPr>
            <w:r>
              <w:rPr>
                <w:rFonts w:hint="eastAsia" w:ascii="宋体" w:hAnsi="宋体" w:cs="宋体"/>
                <w:szCs w:val="21"/>
                <w:highlight w:val="none"/>
                <w:lang w:eastAsia="zh-CN"/>
              </w:rPr>
              <w:t>质保期</w:t>
            </w:r>
          </w:p>
        </w:tc>
        <w:tc>
          <w:tcPr>
            <w:tcW w:w="5040" w:type="dxa"/>
            <w:shd w:val="clear" w:color="auto" w:fill="auto"/>
            <w:vAlign w:val="center"/>
          </w:tcPr>
          <w:p w14:paraId="3709DA2A">
            <w:pPr>
              <w:spacing w:line="312" w:lineRule="auto"/>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rPr>
              <w:t>符合第二章“供应商须知前附表”的相关规定</w:t>
            </w:r>
          </w:p>
        </w:tc>
      </w:tr>
      <w:tr w14:paraId="2AC2E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28" w:type="dxa"/>
            <w:vMerge w:val="continue"/>
            <w:vAlign w:val="center"/>
          </w:tcPr>
          <w:p w14:paraId="7D16965C">
            <w:pPr>
              <w:jc w:val="center"/>
              <w:rPr>
                <w:rFonts w:hint="eastAsia" w:ascii="宋体" w:hAnsi="宋体" w:cs="宋体"/>
                <w:szCs w:val="21"/>
                <w:highlight w:val="none"/>
              </w:rPr>
            </w:pPr>
          </w:p>
        </w:tc>
        <w:tc>
          <w:tcPr>
            <w:tcW w:w="1149" w:type="dxa"/>
            <w:vMerge w:val="continue"/>
            <w:vAlign w:val="center"/>
          </w:tcPr>
          <w:p w14:paraId="3420AA67">
            <w:pPr>
              <w:jc w:val="center"/>
              <w:rPr>
                <w:rFonts w:hint="eastAsia" w:ascii="宋体" w:hAnsi="宋体" w:cs="宋体"/>
                <w:szCs w:val="21"/>
                <w:highlight w:val="none"/>
              </w:rPr>
            </w:pPr>
          </w:p>
        </w:tc>
        <w:tc>
          <w:tcPr>
            <w:tcW w:w="2811" w:type="dxa"/>
            <w:vAlign w:val="center"/>
          </w:tcPr>
          <w:p w14:paraId="6436039D">
            <w:pPr>
              <w:rPr>
                <w:rFonts w:hint="eastAsia" w:ascii="宋体" w:hAnsi="宋体" w:cs="宋体"/>
                <w:szCs w:val="21"/>
                <w:highlight w:val="none"/>
              </w:rPr>
            </w:pPr>
            <w:r>
              <w:rPr>
                <w:rFonts w:hint="eastAsia" w:ascii="宋体" w:hAnsi="宋体" w:cs="宋体"/>
                <w:szCs w:val="21"/>
                <w:highlight w:val="none"/>
              </w:rPr>
              <w:t>质量要求</w:t>
            </w:r>
          </w:p>
        </w:tc>
        <w:tc>
          <w:tcPr>
            <w:tcW w:w="5040" w:type="dxa"/>
            <w:vAlign w:val="center"/>
          </w:tcPr>
          <w:p w14:paraId="073581D8">
            <w:pPr>
              <w:spacing w:line="312" w:lineRule="auto"/>
              <w:rPr>
                <w:rFonts w:hint="eastAsia" w:ascii="宋体" w:hAnsi="宋体" w:cs="宋体"/>
                <w:szCs w:val="21"/>
                <w:highlight w:val="none"/>
              </w:rPr>
            </w:pPr>
            <w:r>
              <w:rPr>
                <w:rFonts w:hint="eastAsia" w:ascii="宋体" w:hAnsi="宋体" w:cs="宋体"/>
                <w:szCs w:val="21"/>
                <w:highlight w:val="none"/>
              </w:rPr>
              <w:t>符合第二章“供应商须知前附表”的相关规定</w:t>
            </w:r>
          </w:p>
        </w:tc>
      </w:tr>
      <w:tr w14:paraId="0A999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28" w:type="dxa"/>
            <w:vMerge w:val="continue"/>
            <w:vAlign w:val="center"/>
          </w:tcPr>
          <w:p w14:paraId="13050F36">
            <w:pPr>
              <w:jc w:val="center"/>
              <w:rPr>
                <w:rFonts w:hint="eastAsia" w:ascii="宋体" w:hAnsi="宋体" w:cs="宋体"/>
                <w:szCs w:val="21"/>
                <w:highlight w:val="none"/>
              </w:rPr>
            </w:pPr>
          </w:p>
        </w:tc>
        <w:tc>
          <w:tcPr>
            <w:tcW w:w="1149" w:type="dxa"/>
            <w:vMerge w:val="continue"/>
            <w:vAlign w:val="center"/>
          </w:tcPr>
          <w:p w14:paraId="44253DF1">
            <w:pPr>
              <w:jc w:val="center"/>
              <w:rPr>
                <w:rFonts w:hint="eastAsia" w:ascii="宋体" w:hAnsi="宋体" w:cs="宋体"/>
                <w:szCs w:val="21"/>
                <w:highlight w:val="none"/>
              </w:rPr>
            </w:pPr>
          </w:p>
        </w:tc>
        <w:tc>
          <w:tcPr>
            <w:tcW w:w="2811" w:type="dxa"/>
            <w:vAlign w:val="center"/>
          </w:tcPr>
          <w:p w14:paraId="63C630A6">
            <w:pPr>
              <w:rPr>
                <w:rFonts w:hint="eastAsia" w:ascii="宋体" w:hAnsi="宋体" w:cs="宋体"/>
                <w:szCs w:val="21"/>
                <w:highlight w:val="none"/>
              </w:rPr>
            </w:pPr>
            <w:r>
              <w:rPr>
                <w:rFonts w:hint="eastAsia" w:ascii="宋体" w:hAnsi="宋体" w:cs="宋体"/>
                <w:szCs w:val="21"/>
                <w:highlight w:val="none"/>
              </w:rPr>
              <w:t>服务地点</w:t>
            </w:r>
          </w:p>
        </w:tc>
        <w:tc>
          <w:tcPr>
            <w:tcW w:w="5040" w:type="dxa"/>
            <w:vAlign w:val="center"/>
          </w:tcPr>
          <w:p w14:paraId="454531F0">
            <w:pPr>
              <w:spacing w:line="312" w:lineRule="auto"/>
              <w:rPr>
                <w:rFonts w:hint="eastAsia" w:ascii="宋体" w:hAnsi="宋体" w:cs="宋体"/>
                <w:szCs w:val="21"/>
                <w:highlight w:val="none"/>
              </w:rPr>
            </w:pPr>
            <w:r>
              <w:rPr>
                <w:rFonts w:hint="eastAsia" w:ascii="宋体" w:hAnsi="宋体" w:cs="宋体"/>
                <w:szCs w:val="21"/>
                <w:highlight w:val="none"/>
              </w:rPr>
              <w:t>符合第二章“供应商须知前附表”的相关规定</w:t>
            </w:r>
          </w:p>
        </w:tc>
      </w:tr>
      <w:tr w14:paraId="0379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28" w:type="dxa"/>
            <w:vMerge w:val="continue"/>
            <w:vAlign w:val="center"/>
          </w:tcPr>
          <w:p w14:paraId="4075F98E">
            <w:pPr>
              <w:jc w:val="center"/>
              <w:rPr>
                <w:rFonts w:hint="eastAsia" w:ascii="宋体" w:hAnsi="宋体" w:cs="宋体"/>
                <w:szCs w:val="21"/>
                <w:highlight w:val="none"/>
              </w:rPr>
            </w:pPr>
          </w:p>
        </w:tc>
        <w:tc>
          <w:tcPr>
            <w:tcW w:w="1149" w:type="dxa"/>
            <w:vMerge w:val="continue"/>
            <w:vAlign w:val="center"/>
          </w:tcPr>
          <w:p w14:paraId="08F38B6A">
            <w:pPr>
              <w:jc w:val="center"/>
              <w:rPr>
                <w:rFonts w:hint="eastAsia" w:ascii="宋体" w:hAnsi="宋体" w:cs="宋体"/>
                <w:szCs w:val="21"/>
                <w:highlight w:val="none"/>
              </w:rPr>
            </w:pPr>
          </w:p>
        </w:tc>
        <w:tc>
          <w:tcPr>
            <w:tcW w:w="2811" w:type="dxa"/>
            <w:vAlign w:val="center"/>
          </w:tcPr>
          <w:p w14:paraId="02381849">
            <w:pPr>
              <w:rPr>
                <w:rFonts w:hint="eastAsia" w:ascii="宋体" w:hAnsi="宋体" w:cs="宋体"/>
                <w:szCs w:val="21"/>
                <w:highlight w:val="none"/>
              </w:rPr>
            </w:pPr>
            <w:r>
              <w:rPr>
                <w:rFonts w:hint="eastAsia" w:ascii="宋体" w:hAnsi="宋体" w:cs="宋体"/>
                <w:szCs w:val="21"/>
                <w:highlight w:val="none"/>
              </w:rPr>
              <w:t>响应有效期</w:t>
            </w:r>
          </w:p>
        </w:tc>
        <w:tc>
          <w:tcPr>
            <w:tcW w:w="5040" w:type="dxa"/>
            <w:vAlign w:val="center"/>
          </w:tcPr>
          <w:p w14:paraId="3D085387">
            <w:pPr>
              <w:rPr>
                <w:rFonts w:hint="eastAsia" w:ascii="宋体" w:hAnsi="宋体" w:cs="宋体"/>
                <w:szCs w:val="21"/>
                <w:highlight w:val="none"/>
              </w:rPr>
            </w:pPr>
            <w:r>
              <w:rPr>
                <w:rFonts w:hint="eastAsia" w:ascii="宋体" w:hAnsi="宋体" w:cs="宋体"/>
                <w:szCs w:val="21"/>
                <w:highlight w:val="none"/>
              </w:rPr>
              <w:t>符合第二章“供应商须知前附表”的相关规定</w:t>
            </w:r>
          </w:p>
        </w:tc>
      </w:tr>
      <w:tr w14:paraId="0A97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28" w:type="dxa"/>
            <w:vMerge w:val="continue"/>
            <w:vAlign w:val="center"/>
          </w:tcPr>
          <w:p w14:paraId="5E7C6472">
            <w:pPr>
              <w:jc w:val="center"/>
              <w:rPr>
                <w:rFonts w:hint="eastAsia" w:ascii="宋体" w:hAnsi="宋体" w:cs="宋体"/>
                <w:szCs w:val="21"/>
                <w:highlight w:val="none"/>
              </w:rPr>
            </w:pPr>
          </w:p>
        </w:tc>
        <w:tc>
          <w:tcPr>
            <w:tcW w:w="1149" w:type="dxa"/>
            <w:vMerge w:val="continue"/>
            <w:vAlign w:val="center"/>
          </w:tcPr>
          <w:p w14:paraId="652650F7">
            <w:pPr>
              <w:jc w:val="center"/>
              <w:rPr>
                <w:rFonts w:hint="eastAsia" w:ascii="宋体" w:hAnsi="宋体" w:cs="宋体"/>
                <w:szCs w:val="21"/>
                <w:highlight w:val="none"/>
              </w:rPr>
            </w:pPr>
          </w:p>
        </w:tc>
        <w:tc>
          <w:tcPr>
            <w:tcW w:w="2811" w:type="dxa"/>
            <w:vAlign w:val="center"/>
          </w:tcPr>
          <w:p w14:paraId="09FCEE9F">
            <w:pPr>
              <w:adjustRightInd w:val="0"/>
              <w:spacing w:line="360" w:lineRule="auto"/>
              <w:jc w:val="left"/>
              <w:textAlignment w:val="baseline"/>
              <w:rPr>
                <w:rFonts w:hint="eastAsia" w:ascii="宋体" w:hAnsi="宋体" w:eastAsia="宋体" w:cs="宋体"/>
                <w:szCs w:val="21"/>
                <w:highlight w:val="none"/>
                <w:lang w:eastAsia="zh-CN"/>
              </w:rPr>
            </w:pPr>
            <w:r>
              <w:rPr>
                <w:rFonts w:hint="eastAsia" w:ascii="宋体" w:hAnsi="宋体" w:cs="宋体"/>
                <w:szCs w:val="21"/>
                <w:highlight w:val="none"/>
              </w:rPr>
              <w:t>报价</w:t>
            </w:r>
            <w:r>
              <w:rPr>
                <w:rFonts w:hint="eastAsia" w:ascii="宋体" w:hAnsi="宋体" w:cs="宋体"/>
                <w:szCs w:val="21"/>
                <w:highlight w:val="none"/>
                <w:lang w:eastAsia="zh-CN"/>
              </w:rPr>
              <w:t>（</w:t>
            </w:r>
            <w:r>
              <w:rPr>
                <w:rFonts w:hint="eastAsia" w:ascii="宋体" w:hAnsi="宋体" w:cs="宋体"/>
                <w:szCs w:val="21"/>
                <w:highlight w:val="none"/>
                <w:lang w:val="en-US" w:eastAsia="zh-CN"/>
              </w:rPr>
              <w:t>含税</w:t>
            </w:r>
            <w:r>
              <w:rPr>
                <w:rFonts w:hint="eastAsia" w:ascii="宋体" w:hAnsi="宋体" w:cs="宋体"/>
                <w:szCs w:val="21"/>
                <w:highlight w:val="none"/>
                <w:lang w:eastAsia="zh-CN"/>
              </w:rPr>
              <w:t>）</w:t>
            </w:r>
          </w:p>
        </w:tc>
        <w:tc>
          <w:tcPr>
            <w:tcW w:w="5040" w:type="dxa"/>
            <w:vAlign w:val="center"/>
          </w:tcPr>
          <w:p w14:paraId="475B09E6">
            <w:pPr>
              <w:adjustRightInd w:val="0"/>
              <w:spacing w:line="360" w:lineRule="auto"/>
              <w:jc w:val="left"/>
              <w:textAlignment w:val="baseline"/>
              <w:rPr>
                <w:rFonts w:hint="eastAsia" w:ascii="宋体" w:hAnsi="宋体" w:cs="宋体"/>
                <w:szCs w:val="21"/>
                <w:highlight w:val="none"/>
              </w:rPr>
            </w:pPr>
            <w:r>
              <w:rPr>
                <w:rFonts w:hint="eastAsia" w:ascii="宋体" w:hAnsi="宋体" w:cs="宋体"/>
                <w:szCs w:val="21"/>
                <w:highlight w:val="none"/>
              </w:rPr>
              <w:t>不超过最高限价</w:t>
            </w:r>
          </w:p>
        </w:tc>
      </w:tr>
      <w:tr w14:paraId="6D219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828" w:type="dxa"/>
            <w:vMerge w:val="continue"/>
            <w:vAlign w:val="center"/>
          </w:tcPr>
          <w:p w14:paraId="773A524A">
            <w:pPr>
              <w:jc w:val="center"/>
              <w:rPr>
                <w:rFonts w:hint="eastAsia" w:ascii="宋体" w:hAnsi="宋体" w:cs="宋体"/>
                <w:szCs w:val="21"/>
                <w:highlight w:val="none"/>
              </w:rPr>
            </w:pPr>
          </w:p>
        </w:tc>
        <w:tc>
          <w:tcPr>
            <w:tcW w:w="1149" w:type="dxa"/>
            <w:vMerge w:val="continue"/>
            <w:vAlign w:val="center"/>
          </w:tcPr>
          <w:p w14:paraId="1373C810">
            <w:pPr>
              <w:jc w:val="center"/>
              <w:rPr>
                <w:rFonts w:hint="eastAsia" w:ascii="宋体" w:hAnsi="宋体" w:cs="宋体"/>
                <w:szCs w:val="21"/>
                <w:highlight w:val="none"/>
              </w:rPr>
            </w:pPr>
          </w:p>
        </w:tc>
        <w:tc>
          <w:tcPr>
            <w:tcW w:w="2811" w:type="dxa"/>
            <w:vAlign w:val="center"/>
          </w:tcPr>
          <w:p w14:paraId="5BCEC5EF">
            <w:pPr>
              <w:adjustRightInd w:val="0"/>
              <w:spacing w:line="360" w:lineRule="auto"/>
              <w:jc w:val="left"/>
              <w:textAlignment w:val="baseline"/>
              <w:rPr>
                <w:rFonts w:hint="eastAsia" w:ascii="宋体" w:hAnsi="宋体" w:cs="宋体"/>
                <w:szCs w:val="21"/>
                <w:highlight w:val="none"/>
              </w:rPr>
            </w:pPr>
            <w:r>
              <w:rPr>
                <w:rFonts w:hint="eastAsia" w:ascii="宋体" w:hAnsi="宋体" w:cs="宋体"/>
                <w:szCs w:val="21"/>
                <w:highlight w:val="none"/>
              </w:rPr>
              <w:t>权利义务</w:t>
            </w:r>
          </w:p>
        </w:tc>
        <w:tc>
          <w:tcPr>
            <w:tcW w:w="5040" w:type="dxa"/>
            <w:vAlign w:val="center"/>
          </w:tcPr>
          <w:p w14:paraId="268C3D8A">
            <w:pPr>
              <w:adjustRightInd w:val="0"/>
              <w:spacing w:line="360" w:lineRule="auto"/>
              <w:jc w:val="left"/>
              <w:textAlignment w:val="baseline"/>
              <w:rPr>
                <w:rFonts w:hint="eastAsia" w:ascii="宋体" w:hAnsi="宋体" w:cs="宋体"/>
                <w:szCs w:val="21"/>
                <w:highlight w:val="none"/>
              </w:rPr>
            </w:pPr>
            <w:r>
              <w:rPr>
                <w:rFonts w:hint="eastAsia" w:ascii="宋体" w:hAnsi="宋体" w:cs="宋体"/>
                <w:szCs w:val="21"/>
                <w:highlight w:val="none"/>
              </w:rPr>
              <w:t>符合第四章“合同条款及格式”规定</w:t>
            </w:r>
          </w:p>
        </w:tc>
      </w:tr>
    </w:tbl>
    <w:p w14:paraId="0565AF39">
      <w:pPr>
        <w:rPr>
          <w:rFonts w:hint="eastAsia" w:ascii="宋体" w:hAnsi="宋体" w:cs="宋体"/>
          <w:highlight w:val="none"/>
        </w:rPr>
      </w:pPr>
    </w:p>
    <w:p w14:paraId="1D190B24">
      <w:pPr>
        <w:pStyle w:val="31"/>
        <w:ind w:firstLine="320"/>
        <w:rPr>
          <w:rFonts w:hint="eastAsia" w:ascii="宋体" w:hAnsi="宋体" w:cs="宋体"/>
          <w:highlight w:val="none"/>
        </w:rPr>
      </w:pPr>
    </w:p>
    <w:p w14:paraId="64CD3274">
      <w:pPr>
        <w:widowControl/>
        <w:jc w:val="left"/>
        <w:rPr>
          <w:rFonts w:hint="eastAsia" w:ascii="宋体" w:hAnsi="宋体" w:cs="宋体"/>
          <w:highlight w:val="none"/>
        </w:rPr>
      </w:pPr>
      <w:r>
        <w:rPr>
          <w:rFonts w:hint="eastAsia" w:ascii="宋体" w:hAnsi="宋体" w:cs="宋体"/>
          <w:highlight w:val="none"/>
        </w:rPr>
        <w:br w:type="page"/>
      </w:r>
    </w:p>
    <w:p w14:paraId="2F1565D5">
      <w:pPr>
        <w:widowControl/>
        <w:jc w:val="center"/>
        <w:rPr>
          <w:rFonts w:hint="eastAsia" w:ascii="宋体" w:hAnsi="宋体" w:cs="宋体"/>
          <w:b/>
          <w:sz w:val="28"/>
          <w:szCs w:val="28"/>
          <w:highlight w:val="none"/>
        </w:rPr>
      </w:pPr>
      <w:r>
        <w:rPr>
          <w:rFonts w:hint="eastAsia" w:ascii="宋体" w:hAnsi="宋体" w:cs="宋体"/>
          <w:b/>
          <w:sz w:val="28"/>
          <w:szCs w:val="28"/>
          <w:highlight w:val="none"/>
        </w:rPr>
        <w:t>（二）详细审查（综合评分法）</w:t>
      </w:r>
    </w:p>
    <w:p w14:paraId="62F0601D">
      <w:pPr>
        <w:rPr>
          <w:rFonts w:hint="eastAsia" w:ascii="宋体" w:hAnsi="宋体" w:cs="宋体"/>
          <w:highlight w:val="none"/>
        </w:rPr>
      </w:pPr>
    </w:p>
    <w:tbl>
      <w:tblPr>
        <w:tblStyle w:val="33"/>
        <w:tblW w:w="90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71"/>
        <w:gridCol w:w="1199"/>
        <w:gridCol w:w="6699"/>
        <w:gridCol w:w="9"/>
      </w:tblGrid>
      <w:tr w14:paraId="17F4B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jc w:val="center"/>
        </w:trPr>
        <w:tc>
          <w:tcPr>
            <w:tcW w:w="1171" w:type="dxa"/>
            <w:vAlign w:val="center"/>
          </w:tcPr>
          <w:p w14:paraId="5FA5147A">
            <w:pPr>
              <w:jc w:val="center"/>
              <w:rPr>
                <w:bCs/>
                <w:color w:val="000000"/>
                <w:szCs w:val="21"/>
                <w:highlight w:val="none"/>
              </w:rPr>
            </w:pPr>
            <w:r>
              <w:rPr>
                <w:rFonts w:hint="eastAsia" w:ascii="宋体" w:hAnsi="宋体"/>
                <w:bCs/>
                <w:color w:val="000000"/>
                <w:szCs w:val="21"/>
                <w:highlight w:val="none"/>
              </w:rPr>
              <w:t>项目</w:t>
            </w:r>
          </w:p>
        </w:tc>
        <w:tc>
          <w:tcPr>
            <w:tcW w:w="7907" w:type="dxa"/>
            <w:gridSpan w:val="3"/>
            <w:vAlign w:val="center"/>
          </w:tcPr>
          <w:p w14:paraId="2BCBEDB2">
            <w:pPr>
              <w:jc w:val="center"/>
              <w:rPr>
                <w:rFonts w:hint="eastAsia" w:ascii="宋体" w:hAnsi="宋体"/>
                <w:bCs/>
                <w:color w:val="000000"/>
                <w:szCs w:val="21"/>
                <w:highlight w:val="none"/>
              </w:rPr>
            </w:pPr>
            <w:r>
              <w:rPr>
                <w:rFonts w:hint="eastAsia" w:ascii="宋体" w:hAnsi="宋体"/>
                <w:bCs/>
                <w:color w:val="000000"/>
                <w:szCs w:val="21"/>
                <w:highlight w:val="none"/>
              </w:rPr>
              <w:t>评审细则</w:t>
            </w:r>
          </w:p>
        </w:tc>
      </w:tr>
      <w:tr w14:paraId="7C563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9" w:type="dxa"/>
          <w:trHeight w:val="1520" w:hRule="atLeast"/>
          <w:jc w:val="center"/>
        </w:trPr>
        <w:tc>
          <w:tcPr>
            <w:tcW w:w="1171" w:type="dxa"/>
            <w:vAlign w:val="center"/>
          </w:tcPr>
          <w:p w14:paraId="7DD43D0B">
            <w:pPr>
              <w:spacing w:line="360" w:lineRule="exact"/>
              <w:jc w:val="center"/>
              <w:rPr>
                <w:color w:val="000000"/>
                <w:szCs w:val="21"/>
                <w:highlight w:val="none"/>
              </w:rPr>
            </w:pPr>
            <w:r>
              <w:rPr>
                <w:rFonts w:hint="eastAsia"/>
                <w:color w:val="000000"/>
                <w:szCs w:val="21"/>
                <w:highlight w:val="none"/>
              </w:rPr>
              <w:t>价格部分</w:t>
            </w:r>
          </w:p>
          <w:p w14:paraId="397BBD29">
            <w:pPr>
              <w:spacing w:line="360" w:lineRule="exact"/>
              <w:jc w:val="center"/>
              <w:rPr>
                <w:color w:val="000000"/>
                <w:szCs w:val="21"/>
                <w:highlight w:val="none"/>
              </w:rPr>
            </w:pPr>
            <w:r>
              <w:rPr>
                <w:rFonts w:hint="eastAsia"/>
                <w:color w:val="000000"/>
                <w:szCs w:val="21"/>
                <w:highlight w:val="none"/>
              </w:rPr>
              <w:t>（4</w:t>
            </w:r>
            <w:r>
              <w:rPr>
                <w:color w:val="000000"/>
                <w:szCs w:val="21"/>
                <w:highlight w:val="none"/>
              </w:rPr>
              <w:t>0</w:t>
            </w:r>
            <w:r>
              <w:rPr>
                <w:rFonts w:hint="eastAsia"/>
                <w:color w:val="000000"/>
                <w:szCs w:val="21"/>
                <w:highlight w:val="none"/>
              </w:rPr>
              <w:t>分）</w:t>
            </w:r>
          </w:p>
        </w:tc>
        <w:tc>
          <w:tcPr>
            <w:tcW w:w="1199" w:type="dxa"/>
            <w:vAlign w:val="center"/>
          </w:tcPr>
          <w:p w14:paraId="0165A770">
            <w:pPr>
              <w:spacing w:line="360" w:lineRule="exact"/>
              <w:jc w:val="center"/>
              <w:rPr>
                <w:color w:val="000000"/>
                <w:szCs w:val="21"/>
                <w:highlight w:val="none"/>
              </w:rPr>
            </w:pPr>
            <w:r>
              <w:rPr>
                <w:rFonts w:hint="eastAsia"/>
                <w:color w:val="000000"/>
                <w:szCs w:val="21"/>
                <w:highlight w:val="none"/>
              </w:rPr>
              <w:t>报价得分</w:t>
            </w:r>
          </w:p>
          <w:p w14:paraId="46E53A6E">
            <w:pPr>
              <w:spacing w:line="360" w:lineRule="exact"/>
              <w:jc w:val="center"/>
              <w:rPr>
                <w:color w:val="000000"/>
                <w:szCs w:val="21"/>
                <w:highlight w:val="none"/>
              </w:rPr>
            </w:pPr>
            <w:r>
              <w:rPr>
                <w:rFonts w:hint="eastAsia"/>
                <w:color w:val="000000"/>
                <w:szCs w:val="21"/>
                <w:highlight w:val="none"/>
              </w:rPr>
              <w:t>（4</w:t>
            </w:r>
            <w:r>
              <w:rPr>
                <w:color w:val="000000"/>
                <w:szCs w:val="21"/>
                <w:highlight w:val="none"/>
              </w:rPr>
              <w:t>0</w:t>
            </w:r>
            <w:r>
              <w:rPr>
                <w:rFonts w:hint="eastAsia"/>
                <w:color w:val="000000"/>
                <w:szCs w:val="21"/>
                <w:highlight w:val="none"/>
              </w:rPr>
              <w:t>分）</w:t>
            </w:r>
          </w:p>
        </w:tc>
        <w:tc>
          <w:tcPr>
            <w:tcW w:w="6699" w:type="dxa"/>
            <w:vAlign w:val="center"/>
          </w:tcPr>
          <w:p w14:paraId="19D31342">
            <w:pPr>
              <w:widowControl/>
              <w:jc w:val="left"/>
              <w:rPr>
                <w:color w:val="000000"/>
                <w:szCs w:val="21"/>
                <w:highlight w:val="none"/>
              </w:rPr>
            </w:pPr>
            <w:r>
              <w:rPr>
                <w:rFonts w:hint="eastAsia"/>
                <w:color w:val="000000"/>
                <w:szCs w:val="21"/>
                <w:highlight w:val="none"/>
              </w:rPr>
              <w:t>确定“评标基准价”：所有有效</w:t>
            </w:r>
            <w:r>
              <w:rPr>
                <w:rFonts w:hint="eastAsia"/>
                <w:color w:val="000000"/>
                <w:szCs w:val="21"/>
                <w:highlight w:val="none"/>
                <w:lang w:eastAsia="zh-CN"/>
              </w:rPr>
              <w:t>供应商</w:t>
            </w:r>
            <w:r>
              <w:rPr>
                <w:rFonts w:hint="eastAsia"/>
                <w:color w:val="000000"/>
                <w:szCs w:val="21"/>
                <w:highlight w:val="none"/>
              </w:rPr>
              <w:t>报价的算术平均值*97%为 “评标基准价” （若有效</w:t>
            </w:r>
            <w:r>
              <w:rPr>
                <w:rFonts w:hint="eastAsia"/>
                <w:color w:val="000000"/>
                <w:szCs w:val="21"/>
                <w:highlight w:val="none"/>
                <w:lang w:eastAsia="zh-CN"/>
              </w:rPr>
              <w:t>供应商</w:t>
            </w:r>
            <w:r>
              <w:rPr>
                <w:rFonts w:hint="eastAsia"/>
                <w:color w:val="000000"/>
                <w:szCs w:val="21"/>
                <w:highlight w:val="none"/>
              </w:rPr>
              <w:t>≥10家，去掉2个最高和2个最低报价后进行平均；若：9家≥有效</w:t>
            </w:r>
            <w:r>
              <w:rPr>
                <w:rFonts w:hint="eastAsia"/>
                <w:color w:val="000000"/>
                <w:szCs w:val="21"/>
                <w:highlight w:val="none"/>
                <w:lang w:eastAsia="zh-CN"/>
              </w:rPr>
              <w:t>供应商</w:t>
            </w:r>
            <w:r>
              <w:rPr>
                <w:rFonts w:hint="eastAsia"/>
                <w:color w:val="000000"/>
                <w:szCs w:val="21"/>
                <w:highlight w:val="none"/>
              </w:rPr>
              <w:t>≥5家，去掉1个最高和1个最低报价后进行平均）；</w:t>
            </w:r>
            <w:r>
              <w:rPr>
                <w:rFonts w:ascii="宋体" w:hAnsi="宋体" w:eastAsia="宋体" w:cs="宋体"/>
                <w:kern w:val="0"/>
                <w:sz w:val="24"/>
                <w:highlight w:val="none"/>
                <w:lang w:bidi="ar"/>
              </w:rPr>
              <w:t xml:space="preserve"> </w:t>
            </w:r>
          </w:p>
          <w:p w14:paraId="42F94C6E">
            <w:pPr>
              <w:pStyle w:val="28"/>
              <w:widowControl/>
              <w:spacing w:beforeAutospacing="0" w:afterAutospacing="0" w:line="40" w:lineRule="atLeast"/>
              <w:rPr>
                <w:color w:val="000000"/>
                <w:kern w:val="2"/>
                <w:sz w:val="21"/>
                <w:szCs w:val="21"/>
                <w:highlight w:val="none"/>
              </w:rPr>
            </w:pPr>
            <w:r>
              <w:rPr>
                <w:rFonts w:hint="eastAsia" w:cstheme="minorBidi"/>
                <w:color w:val="000000"/>
                <w:kern w:val="2"/>
                <w:sz w:val="21"/>
                <w:szCs w:val="21"/>
                <w:highlight w:val="none"/>
                <w:lang w:eastAsia="zh-CN"/>
              </w:rPr>
              <w:t>供应商</w:t>
            </w:r>
            <w:r>
              <w:rPr>
                <w:rFonts w:hint="eastAsia" w:cstheme="minorBidi"/>
                <w:color w:val="000000"/>
                <w:kern w:val="2"/>
                <w:sz w:val="21"/>
                <w:szCs w:val="21"/>
                <w:highlight w:val="none"/>
              </w:rPr>
              <w:t xml:space="preserve">报价得分：有效应答报价等于评标基准价时，得40分； </w:t>
            </w:r>
          </w:p>
          <w:p w14:paraId="4A026ACB">
            <w:pPr>
              <w:pStyle w:val="28"/>
              <w:widowControl/>
              <w:spacing w:beforeAutospacing="0" w:afterAutospacing="0" w:line="40" w:lineRule="atLeast"/>
              <w:rPr>
                <w:color w:val="000000"/>
                <w:kern w:val="2"/>
                <w:sz w:val="21"/>
                <w:szCs w:val="21"/>
                <w:highlight w:val="none"/>
              </w:rPr>
            </w:pPr>
            <w:r>
              <w:rPr>
                <w:rFonts w:hint="eastAsia" w:cstheme="minorBidi"/>
                <w:color w:val="000000"/>
                <w:kern w:val="2"/>
                <w:sz w:val="21"/>
                <w:szCs w:val="21"/>
                <w:highlight w:val="none"/>
              </w:rPr>
              <w:t xml:space="preserve">当有效应答报价高于评标基准价时，与评标基准价相比，每偏差1%，扣减0.6分； </w:t>
            </w:r>
          </w:p>
          <w:p w14:paraId="0BEB1E32">
            <w:pPr>
              <w:pStyle w:val="28"/>
              <w:widowControl/>
              <w:spacing w:beforeAutospacing="0" w:afterAutospacing="0" w:line="40" w:lineRule="atLeast"/>
              <w:rPr>
                <w:color w:val="000000"/>
                <w:kern w:val="2"/>
                <w:sz w:val="21"/>
                <w:szCs w:val="21"/>
                <w:highlight w:val="none"/>
              </w:rPr>
            </w:pPr>
            <w:r>
              <w:rPr>
                <w:rFonts w:hint="eastAsia" w:cstheme="minorBidi"/>
                <w:color w:val="000000"/>
                <w:kern w:val="2"/>
                <w:sz w:val="21"/>
                <w:szCs w:val="21"/>
                <w:highlight w:val="none"/>
              </w:rPr>
              <w:t xml:space="preserve">当有效应答报价低于评标基准价时，与评标基准价相比，每偏差1%，扣减0.3分； </w:t>
            </w:r>
          </w:p>
          <w:p w14:paraId="53EACDE4">
            <w:pPr>
              <w:pStyle w:val="28"/>
              <w:widowControl/>
              <w:spacing w:beforeAutospacing="0" w:afterAutospacing="0" w:line="40" w:lineRule="atLeast"/>
              <w:rPr>
                <w:color w:val="000000"/>
                <w:sz w:val="21"/>
                <w:szCs w:val="21"/>
                <w:highlight w:val="none"/>
              </w:rPr>
            </w:pPr>
            <w:r>
              <w:rPr>
                <w:rFonts w:hint="eastAsia" w:cstheme="minorBidi"/>
                <w:color w:val="000000"/>
                <w:kern w:val="2"/>
                <w:sz w:val="21"/>
                <w:szCs w:val="21"/>
                <w:highlight w:val="none"/>
              </w:rPr>
              <w:t xml:space="preserve">计算结果四舍五入保留两位小数，最低得0分 </w:t>
            </w:r>
          </w:p>
        </w:tc>
      </w:tr>
      <w:tr w14:paraId="67DD4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9" w:type="dxa"/>
          <w:trHeight w:val="1175" w:hRule="atLeast"/>
          <w:jc w:val="center"/>
        </w:trPr>
        <w:tc>
          <w:tcPr>
            <w:tcW w:w="1171" w:type="dxa"/>
            <w:vMerge w:val="restart"/>
            <w:vAlign w:val="center"/>
          </w:tcPr>
          <w:p w14:paraId="7541AA65">
            <w:pPr>
              <w:spacing w:line="360" w:lineRule="exact"/>
              <w:jc w:val="center"/>
              <w:rPr>
                <w:rFonts w:hint="eastAsia" w:ascii="宋体" w:hAnsi="宋体"/>
                <w:color w:val="000000"/>
                <w:szCs w:val="21"/>
                <w:highlight w:val="none"/>
              </w:rPr>
            </w:pPr>
            <w:r>
              <w:rPr>
                <w:rFonts w:hint="eastAsia"/>
                <w:color w:val="000000"/>
                <w:szCs w:val="21"/>
                <w:highlight w:val="none"/>
              </w:rPr>
              <w:t>企业综合实力（27分）</w:t>
            </w:r>
          </w:p>
        </w:tc>
        <w:tc>
          <w:tcPr>
            <w:tcW w:w="1199" w:type="dxa"/>
            <w:tcBorders>
              <w:top w:val="single" w:color="000000" w:sz="4" w:space="0"/>
              <w:left w:val="single" w:color="000000" w:sz="4" w:space="0"/>
              <w:bottom w:val="single" w:color="000000" w:sz="4" w:space="0"/>
              <w:right w:val="single" w:color="000000" w:sz="4" w:space="0"/>
            </w:tcBorders>
            <w:vAlign w:val="center"/>
          </w:tcPr>
          <w:p w14:paraId="4247CA1B">
            <w:pPr>
              <w:snapToGrid w:val="0"/>
              <w:jc w:val="center"/>
              <w:rPr>
                <w:rFonts w:hint="eastAsia" w:ascii="宋体" w:hAnsi="宋体" w:cs="宋体"/>
                <w:bCs/>
                <w:color w:val="000000"/>
                <w:szCs w:val="21"/>
                <w:highlight w:val="none"/>
              </w:rPr>
            </w:pPr>
            <w:r>
              <w:rPr>
                <w:rFonts w:hint="eastAsia"/>
                <w:bCs/>
                <w:color w:val="000000"/>
                <w:szCs w:val="21"/>
                <w:highlight w:val="none"/>
              </w:rPr>
              <w:t>企业实力</w:t>
            </w:r>
            <w:r>
              <w:rPr>
                <w:bCs/>
                <w:color w:val="000000"/>
                <w:szCs w:val="21"/>
                <w:highlight w:val="none"/>
              </w:rPr>
              <w:t>（</w:t>
            </w:r>
            <w:r>
              <w:rPr>
                <w:rFonts w:hint="eastAsia"/>
                <w:bCs/>
                <w:color w:val="000000"/>
                <w:szCs w:val="21"/>
                <w:highlight w:val="none"/>
              </w:rPr>
              <w:t>6</w:t>
            </w:r>
            <w:r>
              <w:rPr>
                <w:bCs/>
                <w:color w:val="000000"/>
                <w:szCs w:val="21"/>
                <w:highlight w:val="none"/>
              </w:rPr>
              <w:t>分）</w:t>
            </w:r>
          </w:p>
        </w:tc>
        <w:tc>
          <w:tcPr>
            <w:tcW w:w="6699" w:type="dxa"/>
            <w:tcBorders>
              <w:top w:val="single" w:color="000000" w:sz="4" w:space="0"/>
              <w:left w:val="single" w:color="000000" w:sz="4" w:space="0"/>
              <w:bottom w:val="single" w:color="000000" w:sz="4" w:space="0"/>
              <w:right w:val="single" w:color="000000" w:sz="4" w:space="0"/>
            </w:tcBorders>
            <w:vAlign w:val="center"/>
          </w:tcPr>
          <w:p w14:paraId="7941079E">
            <w:pPr>
              <w:pStyle w:val="28"/>
              <w:widowControl/>
              <w:spacing w:beforeAutospacing="0" w:afterAutospacing="0" w:line="40" w:lineRule="atLeast"/>
              <w:rPr>
                <w:rFonts w:hint="eastAsia" w:cstheme="minorBidi"/>
                <w:color w:val="000000"/>
                <w:kern w:val="2"/>
                <w:sz w:val="21"/>
                <w:szCs w:val="21"/>
                <w:highlight w:val="none"/>
              </w:rPr>
            </w:pPr>
            <w:r>
              <w:rPr>
                <w:rFonts w:hint="eastAsia" w:cstheme="minorBidi"/>
                <w:color w:val="000000"/>
                <w:kern w:val="2"/>
                <w:sz w:val="21"/>
                <w:szCs w:val="21"/>
                <w:highlight w:val="none"/>
              </w:rPr>
              <w:t>投标人具有“软件企业证书、软件产品证书”的，得6分；</w:t>
            </w:r>
          </w:p>
          <w:p w14:paraId="18D5C426">
            <w:pPr>
              <w:pStyle w:val="28"/>
              <w:widowControl/>
              <w:spacing w:beforeAutospacing="0" w:afterAutospacing="0" w:line="40" w:lineRule="atLeast"/>
              <w:rPr>
                <w:rFonts w:hint="eastAsia" w:cstheme="minorBidi"/>
                <w:color w:val="000000"/>
                <w:kern w:val="2"/>
                <w:sz w:val="21"/>
                <w:szCs w:val="21"/>
                <w:highlight w:val="none"/>
              </w:rPr>
            </w:pPr>
            <w:r>
              <w:rPr>
                <w:rFonts w:hint="eastAsia" w:cstheme="minorBidi"/>
                <w:color w:val="000000"/>
                <w:kern w:val="2"/>
                <w:sz w:val="21"/>
                <w:szCs w:val="21"/>
                <w:highlight w:val="none"/>
              </w:rPr>
              <w:t>（须提供有效的登记证书扫描件）</w:t>
            </w:r>
          </w:p>
        </w:tc>
      </w:tr>
      <w:tr w14:paraId="4B02C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9" w:type="dxa"/>
          <w:trHeight w:val="1175" w:hRule="atLeast"/>
          <w:jc w:val="center"/>
        </w:trPr>
        <w:tc>
          <w:tcPr>
            <w:tcW w:w="1171" w:type="dxa"/>
            <w:vMerge w:val="continue"/>
            <w:vAlign w:val="center"/>
          </w:tcPr>
          <w:p w14:paraId="4B666E86">
            <w:pPr>
              <w:spacing w:line="360" w:lineRule="exact"/>
              <w:jc w:val="center"/>
              <w:rPr>
                <w:color w:val="000000"/>
                <w:szCs w:val="21"/>
                <w:highlight w:val="none"/>
              </w:rPr>
            </w:pPr>
          </w:p>
        </w:tc>
        <w:tc>
          <w:tcPr>
            <w:tcW w:w="1199" w:type="dxa"/>
            <w:tcBorders>
              <w:top w:val="single" w:color="000000" w:sz="4" w:space="0"/>
              <w:left w:val="single" w:color="000000" w:sz="4" w:space="0"/>
              <w:bottom w:val="single" w:color="000000" w:sz="4" w:space="0"/>
              <w:right w:val="single" w:color="000000" w:sz="4" w:space="0"/>
            </w:tcBorders>
            <w:vAlign w:val="center"/>
          </w:tcPr>
          <w:p w14:paraId="0EC6273D">
            <w:pPr>
              <w:pStyle w:val="92"/>
              <w:ind w:firstLine="0" w:firstLineChars="0"/>
              <w:jc w:val="center"/>
              <w:rPr>
                <w:rFonts w:asciiTheme="minorHAnsi" w:hAnsiTheme="minorHAnsi" w:eastAsiaTheme="minorEastAsia" w:cstheme="minorBidi"/>
                <w:bCs/>
                <w:color w:val="000000"/>
                <w:szCs w:val="21"/>
                <w:highlight w:val="none"/>
              </w:rPr>
            </w:pPr>
            <w:r>
              <w:rPr>
                <w:rFonts w:hint="eastAsia"/>
                <w:color w:val="000000"/>
                <w:szCs w:val="21"/>
                <w:highlight w:val="none"/>
              </w:rPr>
              <w:t>类似业绩</w:t>
            </w:r>
            <w:r>
              <w:rPr>
                <w:rFonts w:ascii="Times New Roman" w:hAnsi="Times New Roman"/>
                <w:color w:val="000000"/>
                <w:szCs w:val="21"/>
                <w:highlight w:val="none"/>
              </w:rPr>
              <w:t>（</w:t>
            </w:r>
            <w:r>
              <w:rPr>
                <w:rFonts w:hint="eastAsia" w:ascii="Times New Roman" w:hAnsi="Times New Roman"/>
                <w:color w:val="000000"/>
                <w:szCs w:val="21"/>
                <w:highlight w:val="none"/>
              </w:rPr>
              <w:t>10</w:t>
            </w:r>
            <w:r>
              <w:rPr>
                <w:rFonts w:ascii="Times New Roman" w:hAnsi="Times New Roman"/>
                <w:color w:val="000000"/>
                <w:szCs w:val="21"/>
                <w:highlight w:val="none"/>
              </w:rPr>
              <w:t>分</w:t>
            </w:r>
            <w:r>
              <w:rPr>
                <w:rFonts w:hint="eastAsia"/>
                <w:color w:val="000000"/>
                <w:szCs w:val="21"/>
                <w:highlight w:val="none"/>
              </w:rPr>
              <w:t>）</w:t>
            </w:r>
          </w:p>
        </w:tc>
        <w:tc>
          <w:tcPr>
            <w:tcW w:w="6699" w:type="dxa"/>
            <w:tcBorders>
              <w:top w:val="single" w:color="000000" w:sz="4" w:space="0"/>
              <w:left w:val="single" w:color="000000" w:sz="4" w:space="0"/>
              <w:bottom w:val="single" w:color="000000" w:sz="4" w:space="0"/>
              <w:right w:val="single" w:color="000000" w:sz="4" w:space="0"/>
            </w:tcBorders>
            <w:vAlign w:val="center"/>
          </w:tcPr>
          <w:p w14:paraId="26EF856E">
            <w:pPr>
              <w:snapToGrid w:val="0"/>
              <w:spacing w:line="360" w:lineRule="exact"/>
              <w:rPr>
                <w:highlight w:val="none"/>
              </w:rPr>
            </w:pPr>
            <w:r>
              <w:rPr>
                <w:highlight w:val="none"/>
              </w:rPr>
              <w:t>202</w:t>
            </w:r>
            <w:r>
              <w:rPr>
                <w:rFonts w:hint="eastAsia"/>
                <w:highlight w:val="none"/>
              </w:rPr>
              <w:t>3</w:t>
            </w:r>
            <w:r>
              <w:rPr>
                <w:highlight w:val="none"/>
              </w:rPr>
              <w:t xml:space="preserve"> 年以来，投标人承担过合同金额不低于 </w:t>
            </w:r>
            <w:r>
              <w:rPr>
                <w:rFonts w:hint="eastAsia"/>
                <w:highlight w:val="none"/>
                <w:lang w:val="en-US" w:eastAsia="zh-CN"/>
              </w:rPr>
              <w:t>2</w:t>
            </w:r>
            <w:r>
              <w:rPr>
                <w:highlight w:val="none"/>
              </w:rPr>
              <w:t>0 万元的软件开发项目，</w:t>
            </w:r>
            <w:r>
              <w:rPr>
                <w:rFonts w:hint="eastAsia"/>
                <w:highlight w:val="none"/>
              </w:rPr>
              <w:t>每提供一份得2分，最多</w:t>
            </w:r>
            <w:r>
              <w:rPr>
                <w:highlight w:val="none"/>
              </w:rPr>
              <w:t>得</w:t>
            </w:r>
            <w:r>
              <w:rPr>
                <w:rFonts w:hint="eastAsia"/>
                <w:highlight w:val="none"/>
              </w:rPr>
              <w:t>10</w:t>
            </w:r>
            <w:r>
              <w:rPr>
                <w:highlight w:val="none"/>
              </w:rPr>
              <w:t xml:space="preserve"> 分。</w:t>
            </w:r>
          </w:p>
          <w:p w14:paraId="66F42787">
            <w:pPr>
              <w:snapToGrid w:val="0"/>
              <w:spacing w:line="360" w:lineRule="exact"/>
              <w:rPr>
                <w:color w:val="000000"/>
                <w:szCs w:val="21"/>
                <w:highlight w:val="none"/>
              </w:rPr>
            </w:pPr>
            <w:r>
              <w:rPr>
                <w:rFonts w:hint="eastAsia"/>
                <w:highlight w:val="none"/>
              </w:rPr>
              <w:t>合同（或框架协议）关键页扫描件</w:t>
            </w:r>
            <w:r>
              <w:rPr>
                <w:highlight w:val="none"/>
              </w:rPr>
              <w:t>/复印件，包括但不限于合同（框架协议）首页、服务内容页、金额页、签字盖章页、协议订单（仅针对框架协议）等，业绩金额以合同（框架协议业绩金额以202</w:t>
            </w:r>
            <w:r>
              <w:rPr>
                <w:rFonts w:hint="eastAsia"/>
                <w:highlight w:val="none"/>
              </w:rPr>
              <w:t>3</w:t>
            </w:r>
            <w:r>
              <w:rPr>
                <w:highlight w:val="none"/>
              </w:rPr>
              <w:t>年1月1日之后订单）对应的结算发票金额为准。</w:t>
            </w:r>
          </w:p>
        </w:tc>
      </w:tr>
      <w:tr w14:paraId="108CE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9" w:type="dxa"/>
          <w:trHeight w:val="1175" w:hRule="atLeast"/>
          <w:jc w:val="center"/>
        </w:trPr>
        <w:tc>
          <w:tcPr>
            <w:tcW w:w="1171" w:type="dxa"/>
            <w:vMerge w:val="continue"/>
            <w:vAlign w:val="center"/>
          </w:tcPr>
          <w:p w14:paraId="0097EC08">
            <w:pPr>
              <w:spacing w:line="360" w:lineRule="exact"/>
              <w:jc w:val="center"/>
              <w:rPr>
                <w:color w:val="000000"/>
                <w:szCs w:val="21"/>
                <w:highlight w:val="none"/>
              </w:rPr>
            </w:pPr>
          </w:p>
        </w:tc>
        <w:tc>
          <w:tcPr>
            <w:tcW w:w="1199" w:type="dxa"/>
            <w:tcBorders>
              <w:top w:val="single" w:color="000000" w:sz="4" w:space="0"/>
              <w:left w:val="single" w:color="000000" w:sz="4" w:space="0"/>
              <w:bottom w:val="single" w:color="000000" w:sz="4" w:space="0"/>
              <w:right w:val="single" w:color="000000" w:sz="4" w:space="0"/>
            </w:tcBorders>
            <w:vAlign w:val="center"/>
          </w:tcPr>
          <w:p w14:paraId="574300AC">
            <w:pPr>
              <w:pStyle w:val="92"/>
              <w:ind w:firstLine="0" w:firstLineChars="0"/>
              <w:jc w:val="center"/>
              <w:rPr>
                <w:rFonts w:asciiTheme="minorHAnsi" w:hAnsiTheme="minorHAnsi" w:eastAsiaTheme="minorEastAsia" w:cstheme="minorBidi"/>
                <w:szCs w:val="24"/>
                <w:highlight w:val="none"/>
              </w:rPr>
            </w:pPr>
            <w:r>
              <w:rPr>
                <w:rFonts w:hint="eastAsia" w:asciiTheme="minorHAnsi" w:hAnsiTheme="minorHAnsi" w:eastAsiaTheme="minorEastAsia" w:cstheme="minorBidi"/>
                <w:szCs w:val="24"/>
                <w:highlight w:val="none"/>
              </w:rPr>
              <w:t>软著（9分）</w:t>
            </w:r>
          </w:p>
        </w:tc>
        <w:tc>
          <w:tcPr>
            <w:tcW w:w="6699" w:type="dxa"/>
            <w:tcBorders>
              <w:top w:val="single" w:color="000000" w:sz="4" w:space="0"/>
              <w:left w:val="single" w:color="000000" w:sz="4" w:space="0"/>
              <w:bottom w:val="single" w:color="000000" w:sz="4" w:space="0"/>
              <w:right w:val="single" w:color="000000" w:sz="4" w:space="0"/>
            </w:tcBorders>
            <w:vAlign w:val="center"/>
          </w:tcPr>
          <w:p w14:paraId="5DF822CC">
            <w:pPr>
              <w:snapToGrid w:val="0"/>
              <w:spacing w:line="360" w:lineRule="exact"/>
              <w:rPr>
                <w:highlight w:val="none"/>
              </w:rPr>
            </w:pPr>
            <w:r>
              <w:rPr>
                <w:highlight w:val="none"/>
              </w:rPr>
              <w:t>投标人拥有制造业相关领域的计算机软件著作权登记证书，</w:t>
            </w:r>
            <w:r>
              <w:rPr>
                <w:rFonts w:hint="eastAsia"/>
                <w:highlight w:val="none"/>
              </w:rPr>
              <w:t>每提供一份得1分，最多</w:t>
            </w:r>
            <w:r>
              <w:rPr>
                <w:highlight w:val="none"/>
              </w:rPr>
              <w:t>得</w:t>
            </w:r>
            <w:r>
              <w:rPr>
                <w:rFonts w:hint="eastAsia"/>
                <w:highlight w:val="none"/>
              </w:rPr>
              <w:t>9</w:t>
            </w:r>
            <w:r>
              <w:rPr>
                <w:highlight w:val="none"/>
              </w:rPr>
              <w:t>分。</w:t>
            </w:r>
          </w:p>
          <w:p w14:paraId="06B2AA0C">
            <w:pPr>
              <w:snapToGrid w:val="0"/>
              <w:spacing w:line="360" w:lineRule="exact"/>
              <w:rPr>
                <w:highlight w:val="none"/>
              </w:rPr>
            </w:pPr>
            <w:r>
              <w:rPr>
                <w:highlight w:val="none"/>
              </w:rPr>
              <w:t>（须提供有效的软著登记证书扫描件）</w:t>
            </w:r>
          </w:p>
        </w:tc>
      </w:tr>
      <w:tr w14:paraId="22D35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9" w:type="dxa"/>
          <w:trHeight w:val="1175" w:hRule="atLeast"/>
          <w:jc w:val="center"/>
        </w:trPr>
        <w:tc>
          <w:tcPr>
            <w:tcW w:w="1171" w:type="dxa"/>
            <w:vMerge w:val="continue"/>
            <w:vAlign w:val="center"/>
          </w:tcPr>
          <w:p w14:paraId="1A71F2DD">
            <w:pPr>
              <w:spacing w:line="360" w:lineRule="exact"/>
              <w:jc w:val="center"/>
              <w:rPr>
                <w:color w:val="000000"/>
                <w:szCs w:val="21"/>
                <w:highlight w:val="none"/>
              </w:rPr>
            </w:pPr>
          </w:p>
        </w:tc>
        <w:tc>
          <w:tcPr>
            <w:tcW w:w="1199" w:type="dxa"/>
            <w:tcBorders>
              <w:top w:val="single" w:color="000000" w:sz="4" w:space="0"/>
              <w:left w:val="single" w:color="000000" w:sz="4" w:space="0"/>
              <w:bottom w:val="single" w:color="000000" w:sz="4" w:space="0"/>
              <w:right w:val="single" w:color="000000" w:sz="4" w:space="0"/>
            </w:tcBorders>
            <w:vAlign w:val="center"/>
          </w:tcPr>
          <w:p w14:paraId="349F63E7">
            <w:pPr>
              <w:rPr>
                <w:rFonts w:hint="eastAsia" w:ascii="宋体" w:hAnsi="宋体" w:cs="宋体"/>
                <w:color w:val="000000"/>
                <w:szCs w:val="21"/>
                <w:highlight w:val="none"/>
              </w:rPr>
            </w:pPr>
            <w:r>
              <w:rPr>
                <w:rFonts w:hint="eastAsia" w:ascii="宋体" w:hAnsi="宋体" w:cs="宋体"/>
                <w:color w:val="000000"/>
                <w:szCs w:val="21"/>
                <w:highlight w:val="none"/>
              </w:rPr>
              <w:t>项目团队</w:t>
            </w:r>
          </w:p>
          <w:p w14:paraId="02EB3E5A">
            <w:pPr>
              <w:pStyle w:val="92"/>
              <w:ind w:firstLine="0" w:firstLineChars="0"/>
              <w:jc w:val="center"/>
              <w:rPr>
                <w:rFonts w:hint="eastAsia" w:ascii="宋体" w:hAnsi="宋体" w:cs="宋体"/>
                <w:bCs/>
                <w:color w:val="000000"/>
                <w:szCs w:val="21"/>
                <w:highlight w:val="none"/>
              </w:rPr>
            </w:pPr>
            <w:r>
              <w:rPr>
                <w:rFonts w:ascii="Times New Roman" w:hAnsi="Times New Roman"/>
                <w:color w:val="000000"/>
                <w:szCs w:val="21"/>
                <w:highlight w:val="none"/>
              </w:rPr>
              <w:t>（</w:t>
            </w:r>
            <w:r>
              <w:rPr>
                <w:rFonts w:hint="eastAsia" w:ascii="Times New Roman" w:hAnsi="Times New Roman"/>
                <w:color w:val="000000"/>
                <w:szCs w:val="21"/>
                <w:highlight w:val="none"/>
              </w:rPr>
              <w:t>2</w:t>
            </w:r>
            <w:r>
              <w:rPr>
                <w:rFonts w:ascii="Times New Roman" w:hAnsi="Times New Roman"/>
                <w:color w:val="000000"/>
                <w:szCs w:val="21"/>
                <w:highlight w:val="none"/>
              </w:rPr>
              <w:t>分）</w:t>
            </w:r>
          </w:p>
        </w:tc>
        <w:tc>
          <w:tcPr>
            <w:tcW w:w="6699" w:type="dxa"/>
            <w:tcBorders>
              <w:top w:val="single" w:color="000000" w:sz="4" w:space="0"/>
              <w:left w:val="single" w:color="000000" w:sz="4" w:space="0"/>
              <w:bottom w:val="single" w:color="000000" w:sz="4" w:space="0"/>
              <w:right w:val="single" w:color="000000" w:sz="4" w:space="0"/>
            </w:tcBorders>
            <w:vAlign w:val="center"/>
          </w:tcPr>
          <w:p w14:paraId="2B322F2F">
            <w:pPr>
              <w:tabs>
                <w:tab w:val="left" w:pos="720"/>
                <w:tab w:val="left" w:pos="1980"/>
                <w:tab w:val="left" w:pos="7560"/>
              </w:tabs>
              <w:spacing w:line="360" w:lineRule="exact"/>
              <w:rPr>
                <w:rFonts w:hint="default" w:ascii="宋体" w:hAnsi="宋体" w:cs="宋体" w:eastAsiaTheme="minorEastAsia"/>
                <w:color w:val="000000"/>
                <w:szCs w:val="21"/>
                <w:highlight w:val="none"/>
                <w:lang w:val="en-US" w:eastAsia="zh-CN" w:bidi="ar"/>
              </w:rPr>
            </w:pPr>
            <w:r>
              <w:rPr>
                <w:rFonts w:hint="eastAsia" w:ascii="宋体" w:hAnsi="宋体" w:cs="宋体"/>
                <w:color w:val="000000"/>
                <w:szCs w:val="21"/>
                <w:highlight w:val="none"/>
                <w:lang w:bidi="ar"/>
              </w:rPr>
              <w:t>项目团队</w:t>
            </w:r>
            <w:r>
              <w:rPr>
                <w:rFonts w:hint="eastAsia" w:ascii="宋体" w:hAnsi="宋体" w:cs="宋体"/>
                <w:color w:val="000000"/>
                <w:szCs w:val="21"/>
                <w:highlight w:val="none"/>
                <w:lang w:val="en-US" w:eastAsia="zh-CN" w:bidi="ar"/>
              </w:rPr>
              <w:t>完整配备项目负责人、架构师、前后端开发工程师、测试工程师、测试工程师、UI设计交互工程师全岗位得2分；缺失1个核心岗位扣1分，扣完为止。</w:t>
            </w:r>
          </w:p>
          <w:p w14:paraId="54D1CC99">
            <w:pPr>
              <w:snapToGrid w:val="0"/>
              <w:spacing w:line="360" w:lineRule="exact"/>
              <w:rPr>
                <w:color w:val="000000"/>
                <w:szCs w:val="21"/>
                <w:highlight w:val="none"/>
              </w:rPr>
            </w:pPr>
            <w:r>
              <w:rPr>
                <w:rFonts w:hint="eastAsia" w:ascii="宋体" w:hAnsi="宋体" w:cs="宋体"/>
                <w:color w:val="000000"/>
                <w:szCs w:val="21"/>
                <w:highlight w:val="none"/>
                <w:lang w:bidi="ar"/>
              </w:rPr>
              <w:t>注：以上人员均须提供与投标人签署的劳务合同，否则不得分。</w:t>
            </w:r>
          </w:p>
        </w:tc>
      </w:tr>
      <w:tr w14:paraId="25AB1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9" w:type="dxa"/>
          <w:trHeight w:val="1183" w:hRule="atLeast"/>
          <w:jc w:val="center"/>
        </w:trPr>
        <w:tc>
          <w:tcPr>
            <w:tcW w:w="1171" w:type="dxa"/>
            <w:vMerge w:val="restart"/>
            <w:vAlign w:val="center"/>
          </w:tcPr>
          <w:p w14:paraId="5A469843">
            <w:pPr>
              <w:spacing w:line="360" w:lineRule="exact"/>
              <w:jc w:val="center"/>
              <w:rPr>
                <w:color w:val="000000"/>
                <w:szCs w:val="21"/>
                <w:highlight w:val="none"/>
              </w:rPr>
            </w:pPr>
            <w:r>
              <w:rPr>
                <w:rFonts w:hint="eastAsia"/>
                <w:color w:val="000000"/>
                <w:szCs w:val="21"/>
                <w:highlight w:val="none"/>
              </w:rPr>
              <w:t>技术部分（33分）</w:t>
            </w:r>
          </w:p>
        </w:tc>
        <w:tc>
          <w:tcPr>
            <w:tcW w:w="1199" w:type="dxa"/>
            <w:vAlign w:val="center"/>
          </w:tcPr>
          <w:p w14:paraId="1E544ACB">
            <w:pPr>
              <w:widowControl/>
              <w:spacing w:line="360" w:lineRule="auto"/>
              <w:jc w:val="left"/>
              <w:rPr>
                <w:rFonts w:ascii="Arial" w:hAnsi="Arial" w:eastAsia="黑体"/>
                <w:b/>
                <w:bCs/>
                <w:color w:val="000000"/>
                <w:szCs w:val="21"/>
                <w:highlight w:val="none"/>
              </w:rPr>
            </w:pPr>
            <w:r>
              <w:rPr>
                <w:rFonts w:hint="eastAsia" w:ascii="宋体" w:hAnsi="宋体" w:cs="宋体"/>
                <w:color w:val="000000"/>
                <w:szCs w:val="21"/>
                <w:highlight w:val="none"/>
              </w:rPr>
              <w:t>项目需求理解及综合分析（9分）</w:t>
            </w:r>
          </w:p>
        </w:tc>
        <w:tc>
          <w:tcPr>
            <w:tcW w:w="6699" w:type="dxa"/>
          </w:tcPr>
          <w:p w14:paraId="29D84207">
            <w:pPr>
              <w:widowControl/>
              <w:adjustRightInd w:val="0"/>
              <w:snapToGrid w:val="0"/>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阐述项目技术需求理解及综合分析程度，包括对项目现状、应用环境、体系结构需求、功能需求、性能要求和实施要求等内容综合评判；对制造业营业场景有详尽理解，包括产销、制造、供应、采购、物料仓储、生产执行、成品仓等核心业务场景，以及智能诊断场景、闭环管理逻辑、数据分析需求等，并基于理解输出蓝图方案。</w:t>
            </w:r>
          </w:p>
          <w:p w14:paraId="54588801">
            <w:pPr>
              <w:widowControl/>
              <w:adjustRightInd w:val="0"/>
              <w:snapToGrid w:val="0"/>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1.阐述项目技术需求理解及综合分析程度内容详实科学、合理，考虑全面，针对性强，提供的设计蓝图完整，得7-9分。</w:t>
            </w:r>
          </w:p>
          <w:p w14:paraId="66C9A8A5">
            <w:pPr>
              <w:widowControl/>
              <w:adjustRightInd w:val="0"/>
              <w:snapToGrid w:val="0"/>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2.阐述项目技术需求理解及综合分析程度内容完整，基本考虑周全，针对性较强，但有个别细节需要进一步完善或提高，提供的设计蓝图较完整，得4-6分。</w:t>
            </w:r>
          </w:p>
          <w:p w14:paraId="1AD50191">
            <w:pPr>
              <w:widowControl/>
              <w:adjustRightInd w:val="0"/>
              <w:snapToGrid w:val="0"/>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3.阐述项目技术需求理解及综合分析程度基本完整，考虑不够周全，针对性不强，多方面需要进一步完善甚至重新考虑，提供的设计蓝图不完整，得1-3分。</w:t>
            </w:r>
          </w:p>
          <w:p w14:paraId="14189821">
            <w:pPr>
              <w:widowControl/>
              <w:adjustRightInd w:val="0"/>
              <w:snapToGrid w:val="0"/>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4.没有不得分。</w:t>
            </w:r>
          </w:p>
        </w:tc>
      </w:tr>
      <w:tr w14:paraId="22CA1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9" w:type="dxa"/>
          <w:trHeight w:val="2873" w:hRule="atLeast"/>
          <w:jc w:val="center"/>
        </w:trPr>
        <w:tc>
          <w:tcPr>
            <w:tcW w:w="1171" w:type="dxa"/>
            <w:vMerge w:val="continue"/>
            <w:vAlign w:val="center"/>
          </w:tcPr>
          <w:p w14:paraId="4A2F8A1C">
            <w:pPr>
              <w:spacing w:line="360" w:lineRule="exact"/>
              <w:jc w:val="center"/>
              <w:rPr>
                <w:color w:val="000000"/>
                <w:szCs w:val="21"/>
                <w:highlight w:val="none"/>
              </w:rPr>
            </w:pPr>
          </w:p>
        </w:tc>
        <w:tc>
          <w:tcPr>
            <w:tcW w:w="1199" w:type="dxa"/>
            <w:vAlign w:val="center"/>
          </w:tcPr>
          <w:p w14:paraId="6D741FF0">
            <w:pPr>
              <w:spacing w:line="276" w:lineRule="auto"/>
              <w:jc w:val="center"/>
              <w:rPr>
                <w:color w:val="000000"/>
                <w:szCs w:val="21"/>
                <w:highlight w:val="none"/>
              </w:rPr>
            </w:pPr>
            <w:r>
              <w:rPr>
                <w:rFonts w:hint="eastAsia" w:ascii="宋体" w:hAnsi="宋体" w:cs="宋体"/>
                <w:color w:val="000000"/>
                <w:szCs w:val="21"/>
                <w:highlight w:val="none"/>
              </w:rPr>
              <w:t>系统功能展示</w:t>
            </w:r>
            <w:r>
              <w:rPr>
                <w:rFonts w:hint="eastAsia"/>
                <w:color w:val="000000"/>
                <w:szCs w:val="21"/>
                <w:highlight w:val="none"/>
              </w:rPr>
              <w:t>（6分）</w:t>
            </w:r>
          </w:p>
        </w:tc>
        <w:tc>
          <w:tcPr>
            <w:tcW w:w="6699" w:type="dxa"/>
            <w:vAlign w:val="center"/>
          </w:tcPr>
          <w:p w14:paraId="04351D1C">
            <w:pPr>
              <w:spacing w:line="360" w:lineRule="exact"/>
              <w:rPr>
                <w:color w:val="000000"/>
                <w:szCs w:val="21"/>
                <w:highlight w:val="none"/>
              </w:rPr>
            </w:pPr>
            <w:r>
              <w:rPr>
                <w:rFonts w:hint="eastAsia" w:ascii="宋体" w:hAnsi="宋体" w:cs="宋体"/>
                <w:color w:val="000000"/>
                <w:szCs w:val="21"/>
                <w:highlight w:val="none"/>
              </w:rPr>
              <w:t>提供演示系统功能，覆盖产销、制造、供应、采购、物料仓储、生产执行、成品仓等核心业务场景，以及智能诊断、业务闭环处理、数据分析看板的实际效果。</w:t>
            </w:r>
            <w:r>
              <w:rPr>
                <w:rFonts w:hint="eastAsia" w:ascii="宋体" w:hAnsi="宋体" w:cs="宋体"/>
                <w:color w:val="000000"/>
                <w:szCs w:val="21"/>
                <w:highlight w:val="none"/>
              </w:rPr>
              <w:br w:type="textWrapping"/>
            </w:r>
            <w:r>
              <w:rPr>
                <w:rFonts w:hint="eastAsia" w:ascii="宋体" w:hAnsi="宋体" w:cs="宋体"/>
                <w:color w:val="000000"/>
                <w:szCs w:val="21"/>
                <w:highlight w:val="none"/>
              </w:rPr>
              <w:t>1. 功能完整、流程清晰，诊断逻辑准确、闭环链路完整、看板效果好，核心场景完全覆盖，得 5-6分；</w:t>
            </w:r>
            <w:r>
              <w:rPr>
                <w:rFonts w:hint="eastAsia" w:ascii="宋体" w:hAnsi="宋体" w:cs="宋体"/>
                <w:color w:val="000000"/>
                <w:szCs w:val="21"/>
                <w:highlight w:val="none"/>
              </w:rPr>
              <w:br w:type="textWrapping"/>
            </w:r>
            <w:r>
              <w:rPr>
                <w:rFonts w:hint="eastAsia" w:ascii="宋体" w:hAnsi="宋体" w:cs="宋体"/>
                <w:color w:val="000000"/>
                <w:szCs w:val="21"/>
                <w:highlight w:val="none"/>
              </w:rPr>
              <w:t>2. 功能较完整，闭环链路不完整，诊断逻辑较准确，核心场景覆盖，得 3-4 分；</w:t>
            </w:r>
            <w:r>
              <w:rPr>
                <w:rFonts w:hint="eastAsia" w:ascii="宋体" w:hAnsi="宋体" w:cs="宋体"/>
                <w:color w:val="000000"/>
                <w:szCs w:val="21"/>
                <w:highlight w:val="none"/>
              </w:rPr>
              <w:br w:type="textWrapping"/>
            </w:r>
            <w:r>
              <w:rPr>
                <w:rFonts w:hint="eastAsia" w:ascii="宋体" w:hAnsi="宋体" w:cs="宋体"/>
                <w:color w:val="000000"/>
                <w:szCs w:val="21"/>
                <w:highlight w:val="none"/>
              </w:rPr>
              <w:t>3. 功能较完整，闭环链路不完整，诊断逻辑较准确，核心场景有漏项，得 1-2分；</w:t>
            </w:r>
            <w:r>
              <w:rPr>
                <w:rFonts w:hint="eastAsia" w:ascii="宋体" w:hAnsi="宋体" w:cs="宋体"/>
                <w:color w:val="000000"/>
                <w:szCs w:val="21"/>
                <w:highlight w:val="none"/>
              </w:rPr>
              <w:br w:type="textWrapping"/>
            </w:r>
            <w:r>
              <w:rPr>
                <w:rFonts w:hint="eastAsia" w:ascii="宋体" w:hAnsi="宋体" w:cs="宋体"/>
                <w:color w:val="000000"/>
                <w:szCs w:val="21"/>
                <w:highlight w:val="none"/>
              </w:rPr>
              <w:t>4. 功能不完善 核心场景有漏项或诊断逻辑不完整不得分；</w:t>
            </w:r>
          </w:p>
        </w:tc>
      </w:tr>
      <w:tr w14:paraId="2D2F0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9" w:type="dxa"/>
          <w:trHeight w:val="2229" w:hRule="atLeast"/>
          <w:jc w:val="center"/>
        </w:trPr>
        <w:tc>
          <w:tcPr>
            <w:tcW w:w="1171" w:type="dxa"/>
            <w:vMerge w:val="continue"/>
            <w:vAlign w:val="center"/>
          </w:tcPr>
          <w:p w14:paraId="18AEFD7D">
            <w:pPr>
              <w:spacing w:line="360" w:lineRule="exact"/>
              <w:jc w:val="center"/>
              <w:rPr>
                <w:rFonts w:hint="eastAsia" w:ascii="宋体" w:hAnsi="宋体"/>
                <w:color w:val="000000"/>
                <w:szCs w:val="21"/>
                <w:highlight w:val="none"/>
              </w:rPr>
            </w:pPr>
          </w:p>
        </w:tc>
        <w:tc>
          <w:tcPr>
            <w:tcW w:w="1199" w:type="dxa"/>
            <w:vAlign w:val="center"/>
          </w:tcPr>
          <w:p w14:paraId="7D1EC279">
            <w:pPr>
              <w:spacing w:line="276" w:lineRule="auto"/>
              <w:jc w:val="center"/>
              <w:rPr>
                <w:color w:val="000000"/>
                <w:szCs w:val="21"/>
                <w:highlight w:val="none"/>
              </w:rPr>
            </w:pPr>
            <w:r>
              <w:rPr>
                <w:rFonts w:hint="eastAsia"/>
                <w:color w:val="000000"/>
                <w:szCs w:val="21"/>
                <w:highlight w:val="none"/>
              </w:rPr>
              <w:t>系统建设方案（3分）</w:t>
            </w:r>
          </w:p>
        </w:tc>
        <w:tc>
          <w:tcPr>
            <w:tcW w:w="6699" w:type="dxa"/>
            <w:vAlign w:val="center"/>
          </w:tcPr>
          <w:p w14:paraId="49306BEC">
            <w:pPr>
              <w:pStyle w:val="92"/>
              <w:tabs>
                <w:tab w:val="left" w:pos="399"/>
              </w:tabs>
              <w:ind w:firstLine="0" w:firstLineChars="0"/>
              <w:rPr>
                <w:color w:val="000000"/>
                <w:szCs w:val="21"/>
                <w:highlight w:val="none"/>
              </w:rPr>
            </w:pPr>
            <w:r>
              <w:rPr>
                <w:rFonts w:hint="eastAsia" w:ascii="宋体" w:hAnsi="宋体" w:cs="宋体" w:eastAsiaTheme="minorEastAsia"/>
                <w:color w:val="000000"/>
                <w:szCs w:val="21"/>
                <w:highlight w:val="none"/>
              </w:rPr>
              <w:t>各子系统的技术方案，包含功能模块设计、核心业务流程、技术架构、智能诊断集成架构、数据架构、接口设计等。</w:t>
            </w:r>
            <w:r>
              <w:rPr>
                <w:rFonts w:hint="eastAsia" w:ascii="宋体" w:hAnsi="宋体" w:cs="宋体" w:eastAsiaTheme="minorEastAsia"/>
                <w:color w:val="000000"/>
                <w:szCs w:val="21"/>
                <w:highlight w:val="none"/>
              </w:rPr>
              <w:br w:type="textWrapping"/>
            </w:r>
            <w:r>
              <w:rPr>
                <w:rFonts w:hint="eastAsia" w:ascii="宋体" w:hAnsi="宋体" w:cs="宋体" w:eastAsiaTheme="minorEastAsia"/>
                <w:color w:val="000000"/>
                <w:szCs w:val="21"/>
                <w:highlight w:val="none"/>
              </w:rPr>
              <w:t>1. 方案合理、内容详实，切合本项目实际业务，得 3分；</w:t>
            </w:r>
            <w:r>
              <w:rPr>
                <w:rFonts w:hint="eastAsia" w:ascii="宋体" w:hAnsi="宋体" w:cs="宋体" w:eastAsiaTheme="minorEastAsia"/>
                <w:color w:val="000000"/>
                <w:szCs w:val="21"/>
                <w:highlight w:val="none"/>
              </w:rPr>
              <w:br w:type="textWrapping"/>
            </w:r>
            <w:r>
              <w:rPr>
                <w:rFonts w:hint="eastAsia" w:ascii="宋体" w:hAnsi="宋体" w:cs="宋体" w:eastAsiaTheme="minorEastAsia"/>
                <w:color w:val="000000"/>
                <w:szCs w:val="21"/>
                <w:highlight w:val="none"/>
              </w:rPr>
              <w:t>2. 方案较完整，基本切合实际，得 2 分；</w:t>
            </w:r>
            <w:r>
              <w:rPr>
                <w:rFonts w:hint="eastAsia" w:ascii="宋体" w:hAnsi="宋体" w:cs="宋体" w:eastAsiaTheme="minorEastAsia"/>
                <w:color w:val="000000"/>
                <w:szCs w:val="21"/>
                <w:highlight w:val="none"/>
              </w:rPr>
              <w:br w:type="textWrapping"/>
            </w:r>
            <w:r>
              <w:rPr>
                <w:rFonts w:hint="eastAsia" w:ascii="宋体" w:hAnsi="宋体" w:cs="宋体" w:eastAsiaTheme="minorEastAsia"/>
                <w:color w:val="000000"/>
                <w:szCs w:val="21"/>
                <w:highlight w:val="none"/>
              </w:rPr>
              <w:t>3. 方案有缺项，与实际业务结合不够，得 1 分；</w:t>
            </w:r>
            <w:r>
              <w:rPr>
                <w:rFonts w:hint="eastAsia" w:ascii="宋体" w:hAnsi="宋体" w:cs="宋体" w:eastAsiaTheme="minorEastAsia"/>
                <w:color w:val="000000"/>
                <w:szCs w:val="21"/>
                <w:highlight w:val="none"/>
              </w:rPr>
              <w:br w:type="textWrapping"/>
            </w:r>
            <w:r>
              <w:rPr>
                <w:rFonts w:hint="eastAsia" w:ascii="宋体" w:hAnsi="宋体" w:cs="宋体" w:eastAsiaTheme="minorEastAsia"/>
                <w:color w:val="000000"/>
                <w:szCs w:val="21"/>
                <w:highlight w:val="none"/>
              </w:rPr>
              <w:t>4. 内容缺失或方案明显不合理，不得分。</w:t>
            </w:r>
          </w:p>
        </w:tc>
      </w:tr>
      <w:tr w14:paraId="57C40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9" w:type="dxa"/>
          <w:trHeight w:val="2229" w:hRule="atLeast"/>
          <w:jc w:val="center"/>
        </w:trPr>
        <w:tc>
          <w:tcPr>
            <w:tcW w:w="1171" w:type="dxa"/>
            <w:vMerge w:val="continue"/>
            <w:vAlign w:val="center"/>
          </w:tcPr>
          <w:p w14:paraId="72D8B732">
            <w:pPr>
              <w:spacing w:line="360" w:lineRule="exact"/>
              <w:jc w:val="center"/>
              <w:rPr>
                <w:rFonts w:hint="eastAsia" w:ascii="宋体" w:hAnsi="宋体"/>
                <w:color w:val="000000"/>
                <w:szCs w:val="21"/>
                <w:highlight w:val="none"/>
              </w:rPr>
            </w:pPr>
            <w:bookmarkStart w:id="397" w:name="_Hlk103791813"/>
          </w:p>
        </w:tc>
        <w:tc>
          <w:tcPr>
            <w:tcW w:w="1199" w:type="dxa"/>
            <w:vAlign w:val="center"/>
          </w:tcPr>
          <w:p w14:paraId="27655375">
            <w:pPr>
              <w:spacing w:line="276" w:lineRule="auto"/>
              <w:jc w:val="center"/>
              <w:rPr>
                <w:color w:val="000000"/>
                <w:szCs w:val="21"/>
                <w:highlight w:val="none"/>
              </w:rPr>
            </w:pPr>
            <w:r>
              <w:rPr>
                <w:rFonts w:hint="eastAsia"/>
                <w:color w:val="000000"/>
                <w:szCs w:val="21"/>
                <w:highlight w:val="none"/>
              </w:rPr>
              <w:t>智能诊断与分析方案（3分）</w:t>
            </w:r>
          </w:p>
        </w:tc>
        <w:tc>
          <w:tcPr>
            <w:tcW w:w="6699" w:type="dxa"/>
            <w:vAlign w:val="center"/>
          </w:tcPr>
          <w:p w14:paraId="27AF225D">
            <w:pPr>
              <w:pStyle w:val="92"/>
              <w:tabs>
                <w:tab w:val="left" w:pos="399"/>
              </w:tabs>
              <w:ind w:firstLine="0" w:firstLineChars="0"/>
              <w:rPr>
                <w:rFonts w:hint="eastAsia" w:ascii="宋体" w:hAnsi="宋体" w:cs="宋体" w:eastAsiaTheme="minorEastAsia"/>
                <w:color w:val="000000"/>
                <w:szCs w:val="21"/>
                <w:highlight w:val="none"/>
              </w:rPr>
            </w:pPr>
            <w:r>
              <w:rPr>
                <w:rFonts w:hint="eastAsia" w:ascii="宋体" w:hAnsi="宋体" w:cs="宋体" w:eastAsiaTheme="minorEastAsia"/>
                <w:color w:val="000000"/>
                <w:szCs w:val="21"/>
                <w:highlight w:val="none"/>
              </w:rPr>
              <w:t>针对智能诊断模型设计、业务闭环自动化策略、数据分析建模的技术方案。现场提供智能诊断 Demo 的优先。</w:t>
            </w:r>
            <w:r>
              <w:rPr>
                <w:rFonts w:hint="eastAsia" w:ascii="宋体" w:hAnsi="宋体" w:cs="宋体" w:eastAsiaTheme="minorEastAsia"/>
                <w:color w:val="000000"/>
                <w:szCs w:val="21"/>
                <w:highlight w:val="none"/>
              </w:rPr>
              <w:br w:type="textWrapping"/>
            </w:r>
            <w:r>
              <w:rPr>
                <w:rFonts w:hint="eastAsia" w:ascii="宋体" w:hAnsi="宋体" w:cs="宋体" w:eastAsiaTheme="minorEastAsia"/>
                <w:color w:val="000000"/>
                <w:szCs w:val="21"/>
                <w:highlight w:val="none"/>
              </w:rPr>
              <w:t>1. 方案可行，模型设计合理、闭环策略完整，有 Demo 演示，得3分；</w:t>
            </w:r>
            <w:r>
              <w:rPr>
                <w:rFonts w:hint="eastAsia" w:ascii="宋体" w:hAnsi="宋体" w:cs="宋体" w:eastAsiaTheme="minorEastAsia"/>
                <w:color w:val="000000"/>
                <w:szCs w:val="21"/>
                <w:highlight w:val="none"/>
              </w:rPr>
              <w:br w:type="textWrapping"/>
            </w:r>
            <w:r>
              <w:rPr>
                <w:rFonts w:hint="eastAsia" w:ascii="宋体" w:hAnsi="宋体" w:cs="宋体" w:eastAsiaTheme="minorEastAsia"/>
                <w:color w:val="000000"/>
                <w:szCs w:val="21"/>
                <w:highlight w:val="none"/>
              </w:rPr>
              <w:t>2. 方案可行，设计较合理，无 Demo 但方案详实，得 2分；</w:t>
            </w:r>
            <w:r>
              <w:rPr>
                <w:rFonts w:hint="eastAsia" w:ascii="宋体" w:hAnsi="宋体" w:cs="宋体" w:eastAsiaTheme="minorEastAsia"/>
                <w:color w:val="000000"/>
                <w:szCs w:val="21"/>
                <w:highlight w:val="none"/>
              </w:rPr>
              <w:br w:type="textWrapping"/>
            </w:r>
            <w:r>
              <w:rPr>
                <w:rFonts w:hint="eastAsia" w:ascii="宋体" w:hAnsi="宋体" w:cs="宋体" w:eastAsiaTheme="minorEastAsia"/>
                <w:color w:val="000000"/>
                <w:szCs w:val="21"/>
                <w:highlight w:val="none"/>
              </w:rPr>
              <w:t>3. 方案简单，缺乏具体设计细节，得 1分；</w:t>
            </w:r>
            <w:r>
              <w:rPr>
                <w:rFonts w:hint="eastAsia" w:ascii="宋体" w:hAnsi="宋体" w:cs="宋体" w:eastAsiaTheme="minorEastAsia"/>
                <w:color w:val="000000"/>
                <w:szCs w:val="21"/>
                <w:highlight w:val="none"/>
              </w:rPr>
              <w:br w:type="textWrapping"/>
            </w:r>
            <w:r>
              <w:rPr>
                <w:rFonts w:hint="eastAsia" w:ascii="宋体" w:hAnsi="宋体" w:cs="宋体" w:eastAsiaTheme="minorEastAsia"/>
                <w:color w:val="000000"/>
                <w:szCs w:val="21"/>
                <w:highlight w:val="none"/>
              </w:rPr>
              <w:t>4. 未提供不得分。</w:t>
            </w:r>
          </w:p>
        </w:tc>
      </w:tr>
      <w:tr w14:paraId="67F71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9" w:type="dxa"/>
          <w:trHeight w:val="2348" w:hRule="atLeast"/>
          <w:jc w:val="center"/>
        </w:trPr>
        <w:tc>
          <w:tcPr>
            <w:tcW w:w="1171" w:type="dxa"/>
            <w:vMerge w:val="continue"/>
            <w:vAlign w:val="center"/>
          </w:tcPr>
          <w:p w14:paraId="48F36739">
            <w:pPr>
              <w:spacing w:line="360" w:lineRule="exact"/>
              <w:jc w:val="center"/>
              <w:rPr>
                <w:rFonts w:hint="eastAsia" w:ascii="宋体" w:hAnsi="宋体"/>
                <w:color w:val="000000"/>
                <w:szCs w:val="21"/>
                <w:highlight w:val="none"/>
              </w:rPr>
            </w:pPr>
          </w:p>
        </w:tc>
        <w:tc>
          <w:tcPr>
            <w:tcW w:w="1199" w:type="dxa"/>
            <w:vAlign w:val="center"/>
          </w:tcPr>
          <w:p w14:paraId="45B91774">
            <w:pPr>
              <w:spacing w:line="276" w:lineRule="auto"/>
              <w:jc w:val="center"/>
              <w:rPr>
                <w:color w:val="000000"/>
                <w:szCs w:val="21"/>
                <w:highlight w:val="none"/>
              </w:rPr>
            </w:pPr>
            <w:r>
              <w:rPr>
                <w:rFonts w:hint="eastAsia"/>
                <w:color w:val="000000"/>
                <w:szCs w:val="21"/>
                <w:highlight w:val="none"/>
              </w:rPr>
              <w:t>UAT 测试与质量保障（3分）</w:t>
            </w:r>
          </w:p>
        </w:tc>
        <w:tc>
          <w:tcPr>
            <w:tcW w:w="6699" w:type="dxa"/>
            <w:vAlign w:val="center"/>
          </w:tcPr>
          <w:p w14:paraId="753E928F">
            <w:pPr>
              <w:pStyle w:val="92"/>
              <w:tabs>
                <w:tab w:val="left" w:pos="399"/>
              </w:tabs>
              <w:ind w:firstLine="0" w:firstLineChars="0"/>
              <w:rPr>
                <w:rFonts w:hint="eastAsia" w:ascii="宋体" w:hAnsi="宋体" w:cs="宋体" w:eastAsiaTheme="minorEastAsia"/>
                <w:color w:val="000000"/>
                <w:szCs w:val="21"/>
                <w:highlight w:val="none"/>
              </w:rPr>
            </w:pPr>
            <w:r>
              <w:rPr>
                <w:rFonts w:hint="eastAsia" w:ascii="宋体" w:hAnsi="宋体" w:cs="宋体" w:eastAsiaTheme="minorEastAsia"/>
                <w:color w:val="000000"/>
                <w:szCs w:val="21"/>
                <w:highlight w:val="none"/>
              </w:rPr>
              <w:t>测试策略、业务场景覆盖、诊断模型验证、用例设计、缺陷管理、验收标准。</w:t>
            </w:r>
            <w:r>
              <w:rPr>
                <w:rFonts w:hint="eastAsia" w:ascii="宋体" w:hAnsi="宋体" w:cs="宋体" w:eastAsiaTheme="minorEastAsia"/>
                <w:color w:val="000000"/>
                <w:szCs w:val="21"/>
                <w:highlight w:val="none"/>
              </w:rPr>
              <w:br w:type="textWrapping"/>
            </w:r>
            <w:r>
              <w:rPr>
                <w:rFonts w:hint="eastAsia" w:ascii="宋体" w:hAnsi="宋体" w:cs="宋体" w:eastAsiaTheme="minorEastAsia"/>
                <w:color w:val="000000"/>
                <w:szCs w:val="21"/>
                <w:highlight w:val="none"/>
              </w:rPr>
              <w:t>1. 方案完整、场景全面、模型验证方法可行、验收标准明确，得 3分；</w:t>
            </w:r>
            <w:r>
              <w:rPr>
                <w:rFonts w:hint="eastAsia" w:ascii="宋体" w:hAnsi="宋体" w:cs="宋体" w:eastAsiaTheme="minorEastAsia"/>
                <w:color w:val="000000"/>
                <w:szCs w:val="21"/>
                <w:highlight w:val="none"/>
              </w:rPr>
              <w:br w:type="textWrapping"/>
            </w:r>
            <w:r>
              <w:rPr>
                <w:rFonts w:hint="eastAsia" w:ascii="宋体" w:hAnsi="宋体" w:cs="宋体" w:eastAsiaTheme="minorEastAsia"/>
                <w:color w:val="000000"/>
                <w:szCs w:val="21"/>
                <w:highlight w:val="none"/>
              </w:rPr>
              <w:t>2. 方案较完整，保障措施基本到位，得 2 分；</w:t>
            </w:r>
            <w:r>
              <w:rPr>
                <w:rFonts w:hint="eastAsia" w:ascii="宋体" w:hAnsi="宋体" w:cs="宋体" w:eastAsiaTheme="minorEastAsia"/>
                <w:color w:val="000000"/>
                <w:szCs w:val="21"/>
                <w:highlight w:val="none"/>
              </w:rPr>
              <w:br w:type="textWrapping"/>
            </w:r>
            <w:r>
              <w:rPr>
                <w:rFonts w:hint="eastAsia" w:ascii="宋体" w:hAnsi="宋体" w:cs="宋体" w:eastAsiaTheme="minorEastAsia"/>
                <w:color w:val="000000"/>
                <w:szCs w:val="21"/>
                <w:highlight w:val="none"/>
              </w:rPr>
              <w:t>3. 方案简单或保障不足，得 1 分；</w:t>
            </w:r>
            <w:r>
              <w:rPr>
                <w:rFonts w:hint="eastAsia" w:ascii="宋体" w:hAnsi="宋体" w:cs="宋体" w:eastAsiaTheme="minorEastAsia"/>
                <w:color w:val="000000"/>
                <w:szCs w:val="21"/>
                <w:highlight w:val="none"/>
              </w:rPr>
              <w:br w:type="textWrapping"/>
            </w:r>
            <w:r>
              <w:rPr>
                <w:rFonts w:hint="eastAsia" w:ascii="宋体" w:hAnsi="宋体" w:cs="宋体" w:eastAsiaTheme="minorEastAsia"/>
                <w:color w:val="000000"/>
                <w:szCs w:val="21"/>
                <w:highlight w:val="none"/>
              </w:rPr>
              <w:t>4. 未提供不得分。</w:t>
            </w:r>
          </w:p>
        </w:tc>
      </w:tr>
      <w:tr w14:paraId="757ED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9" w:type="dxa"/>
          <w:trHeight w:val="2381" w:hRule="atLeast"/>
          <w:jc w:val="center"/>
        </w:trPr>
        <w:tc>
          <w:tcPr>
            <w:tcW w:w="1171" w:type="dxa"/>
            <w:vMerge w:val="restart"/>
            <w:vAlign w:val="center"/>
          </w:tcPr>
          <w:p w14:paraId="5BB59B0D">
            <w:pPr>
              <w:rPr>
                <w:rFonts w:hint="eastAsia" w:ascii="宋体" w:hAnsi="宋体" w:cs="宋体"/>
                <w:color w:val="000000"/>
                <w:szCs w:val="21"/>
                <w:highlight w:val="none"/>
              </w:rPr>
            </w:pPr>
            <w:r>
              <w:rPr>
                <w:rFonts w:hint="eastAsia" w:ascii="宋体" w:hAnsi="宋体" w:cs="宋体"/>
                <w:color w:val="000000"/>
                <w:szCs w:val="21"/>
                <w:highlight w:val="none"/>
              </w:rPr>
              <w:t>实施方案</w:t>
            </w:r>
          </w:p>
          <w:p w14:paraId="0A59CFDD">
            <w:pPr>
              <w:spacing w:line="360" w:lineRule="exact"/>
              <w:jc w:val="center"/>
              <w:rPr>
                <w:rFonts w:hint="eastAsia" w:ascii="宋体" w:hAnsi="宋体"/>
                <w:color w:val="000000"/>
                <w:szCs w:val="21"/>
                <w:highlight w:val="none"/>
              </w:rPr>
            </w:pPr>
            <w:r>
              <w:rPr>
                <w:rFonts w:hint="eastAsia" w:ascii="宋体" w:hAnsi="宋体" w:cs="宋体"/>
                <w:color w:val="000000"/>
                <w:szCs w:val="21"/>
                <w:highlight w:val="none"/>
              </w:rPr>
              <w:t>评价</w:t>
            </w:r>
            <w:bookmarkEnd w:id="397"/>
            <w:r>
              <w:rPr>
                <w:rFonts w:hint="eastAsia" w:ascii="宋体" w:hAnsi="宋体" w:cs="宋体"/>
                <w:color w:val="000000"/>
                <w:szCs w:val="21"/>
                <w:highlight w:val="none"/>
              </w:rPr>
              <w:t>部分</w:t>
            </w:r>
            <w:r>
              <w:rPr>
                <w:rFonts w:ascii="宋体" w:hAnsi="宋体"/>
                <w:bCs/>
                <w:color w:val="000000"/>
                <w:szCs w:val="21"/>
                <w:highlight w:val="none"/>
              </w:rPr>
              <w:t>（1</w:t>
            </w:r>
            <w:r>
              <w:rPr>
                <w:rFonts w:hint="eastAsia" w:ascii="宋体" w:hAnsi="宋体"/>
                <w:bCs/>
                <w:color w:val="000000"/>
                <w:szCs w:val="21"/>
                <w:highlight w:val="none"/>
              </w:rPr>
              <w:t>0</w:t>
            </w:r>
            <w:r>
              <w:rPr>
                <w:rFonts w:ascii="宋体" w:hAnsi="宋体"/>
                <w:bCs/>
                <w:color w:val="000000"/>
                <w:szCs w:val="21"/>
                <w:highlight w:val="none"/>
              </w:rPr>
              <w:t>分）</w:t>
            </w:r>
          </w:p>
        </w:tc>
        <w:tc>
          <w:tcPr>
            <w:tcW w:w="1199" w:type="dxa"/>
            <w:vAlign w:val="center"/>
          </w:tcPr>
          <w:p w14:paraId="69C7EDBD">
            <w:pPr>
              <w:spacing w:line="276" w:lineRule="auto"/>
              <w:jc w:val="center"/>
              <w:rPr>
                <w:color w:val="000000"/>
                <w:szCs w:val="21"/>
                <w:highlight w:val="none"/>
              </w:rPr>
            </w:pPr>
            <w:r>
              <w:rPr>
                <w:rFonts w:hint="eastAsia" w:ascii="宋体" w:hAnsi="宋体" w:cs="宋体"/>
                <w:color w:val="000000"/>
                <w:szCs w:val="21"/>
                <w:highlight w:val="none"/>
              </w:rPr>
              <w:t>保障措施</w:t>
            </w:r>
            <w:r>
              <w:rPr>
                <w:bCs/>
                <w:color w:val="000000"/>
                <w:szCs w:val="21"/>
                <w:highlight w:val="none"/>
              </w:rPr>
              <w:t>（</w:t>
            </w:r>
            <w:r>
              <w:rPr>
                <w:rFonts w:hint="eastAsia"/>
                <w:bCs/>
                <w:color w:val="000000"/>
                <w:szCs w:val="21"/>
                <w:highlight w:val="none"/>
              </w:rPr>
              <w:t>2</w:t>
            </w:r>
            <w:r>
              <w:rPr>
                <w:bCs/>
                <w:color w:val="000000"/>
                <w:szCs w:val="21"/>
                <w:highlight w:val="none"/>
              </w:rPr>
              <w:t>分）</w:t>
            </w:r>
          </w:p>
        </w:tc>
        <w:tc>
          <w:tcPr>
            <w:tcW w:w="6699" w:type="dxa"/>
            <w:vAlign w:val="center"/>
          </w:tcPr>
          <w:p w14:paraId="69221D61">
            <w:pPr>
              <w:pStyle w:val="92"/>
              <w:spacing w:line="276" w:lineRule="auto"/>
              <w:ind w:firstLine="0" w:firstLineChars="0"/>
              <w:rPr>
                <w:rFonts w:hint="eastAsia" w:ascii="宋体" w:hAnsi="宋体"/>
                <w:color w:val="000000"/>
                <w:szCs w:val="21"/>
                <w:highlight w:val="none"/>
              </w:rPr>
            </w:pPr>
            <w:r>
              <w:rPr>
                <w:rFonts w:hint="eastAsia" w:ascii="宋体" w:hAnsi="宋体"/>
                <w:color w:val="000000"/>
                <w:szCs w:val="21"/>
                <w:highlight w:val="none"/>
              </w:rPr>
              <w:t>保障措施方案是否合理可行，是否能够有力保障软件平台的质量及按期交付以及方案的有效实施。</w:t>
            </w:r>
          </w:p>
          <w:p w14:paraId="053CD8A0">
            <w:pPr>
              <w:widowControl/>
              <w:spacing w:line="276" w:lineRule="auto"/>
              <w:contextualSpacing/>
              <w:jc w:val="left"/>
              <w:rPr>
                <w:rFonts w:hint="eastAsia" w:ascii="宋体" w:hAnsi="宋体" w:cs="宋体"/>
                <w:color w:val="000000"/>
                <w:szCs w:val="21"/>
                <w:highlight w:val="none"/>
              </w:rPr>
            </w:pPr>
            <w:r>
              <w:rPr>
                <w:rFonts w:hint="eastAsia" w:ascii="宋体" w:hAnsi="宋体" w:cs="宋体"/>
                <w:color w:val="000000"/>
                <w:szCs w:val="21"/>
                <w:highlight w:val="none"/>
              </w:rPr>
              <w:t>1.质量控制点设置充分、清晰；质量控制及工期保障措施针对性强、有效可行，明确承诺完成后续质量保障和服务工作，得2分；</w:t>
            </w:r>
          </w:p>
          <w:p w14:paraId="506ED6E4">
            <w:pPr>
              <w:widowControl/>
              <w:spacing w:line="276" w:lineRule="auto"/>
              <w:contextualSpacing/>
              <w:jc w:val="left"/>
              <w:rPr>
                <w:color w:val="000000"/>
                <w:szCs w:val="21"/>
                <w:highlight w:val="none"/>
              </w:rPr>
            </w:pPr>
            <w:r>
              <w:rPr>
                <w:rFonts w:hint="eastAsia" w:ascii="宋体" w:hAnsi="宋体" w:cs="宋体"/>
                <w:color w:val="000000"/>
                <w:szCs w:val="21"/>
                <w:highlight w:val="none"/>
              </w:rPr>
              <w:t>2.有基本的质量控制、工期保障措施以及后续质量保障和服务承诺，得1分；</w:t>
            </w:r>
          </w:p>
          <w:p w14:paraId="333B829B">
            <w:pPr>
              <w:widowControl/>
              <w:spacing w:line="276" w:lineRule="auto"/>
              <w:contextualSpacing/>
              <w:jc w:val="left"/>
              <w:rPr>
                <w:rFonts w:hint="eastAsia" w:ascii="宋体" w:hAnsi="宋体" w:cs="宋体"/>
                <w:color w:val="000000"/>
                <w:szCs w:val="21"/>
                <w:highlight w:val="none"/>
              </w:rPr>
            </w:pPr>
            <w:r>
              <w:rPr>
                <w:rFonts w:hint="eastAsia" w:ascii="宋体" w:hAnsi="宋体" w:cs="宋体"/>
                <w:color w:val="000000"/>
                <w:szCs w:val="21"/>
                <w:highlight w:val="none"/>
              </w:rPr>
              <w:t>3.相关内容缺失或</w:t>
            </w:r>
            <w:r>
              <w:rPr>
                <w:rFonts w:hint="eastAsia" w:ascii="宋体" w:hAnsi="宋体"/>
                <w:color w:val="000000"/>
                <w:szCs w:val="21"/>
                <w:highlight w:val="none"/>
              </w:rPr>
              <w:t>保障措施明显不合理的，不得分</w:t>
            </w:r>
            <w:r>
              <w:rPr>
                <w:rFonts w:hint="eastAsia" w:ascii="宋体" w:hAnsi="宋体" w:cs="宋体"/>
                <w:color w:val="000000"/>
                <w:szCs w:val="21"/>
                <w:highlight w:val="none"/>
              </w:rPr>
              <w:t>；</w:t>
            </w:r>
          </w:p>
        </w:tc>
      </w:tr>
      <w:tr w14:paraId="23A96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9" w:type="dxa"/>
          <w:trHeight w:val="1697" w:hRule="atLeast"/>
          <w:jc w:val="center"/>
        </w:trPr>
        <w:tc>
          <w:tcPr>
            <w:tcW w:w="1171" w:type="dxa"/>
            <w:vMerge w:val="continue"/>
            <w:vAlign w:val="center"/>
          </w:tcPr>
          <w:p w14:paraId="04629ED5">
            <w:pPr>
              <w:spacing w:line="360" w:lineRule="exact"/>
              <w:jc w:val="center"/>
              <w:rPr>
                <w:rFonts w:hint="eastAsia" w:ascii="宋体" w:hAnsi="宋体"/>
                <w:bCs/>
                <w:color w:val="000000"/>
                <w:szCs w:val="21"/>
                <w:highlight w:val="none"/>
              </w:rPr>
            </w:pPr>
          </w:p>
        </w:tc>
        <w:tc>
          <w:tcPr>
            <w:tcW w:w="1199" w:type="dxa"/>
            <w:vAlign w:val="center"/>
          </w:tcPr>
          <w:p w14:paraId="0EA46869">
            <w:pPr>
              <w:spacing w:line="276" w:lineRule="auto"/>
              <w:jc w:val="center"/>
              <w:rPr>
                <w:rFonts w:hint="eastAsia" w:ascii="宋体" w:hAnsi="宋体" w:cs="宋体"/>
                <w:color w:val="000000"/>
                <w:szCs w:val="21"/>
                <w:highlight w:val="none"/>
              </w:rPr>
            </w:pPr>
            <w:r>
              <w:rPr>
                <w:rFonts w:hint="eastAsia"/>
                <w:color w:val="000000"/>
                <w:szCs w:val="21"/>
                <w:highlight w:val="none"/>
              </w:rPr>
              <w:t>应急支撑（2分）</w:t>
            </w:r>
          </w:p>
        </w:tc>
        <w:tc>
          <w:tcPr>
            <w:tcW w:w="6699" w:type="dxa"/>
            <w:vAlign w:val="center"/>
          </w:tcPr>
          <w:p w14:paraId="0325D87F">
            <w:pPr>
              <w:spacing w:line="276" w:lineRule="auto"/>
              <w:rPr>
                <w:rFonts w:hint="eastAsia" w:ascii="宋体" w:hAnsi="宋体" w:cs="新宋体"/>
                <w:color w:val="000000"/>
                <w:szCs w:val="21"/>
                <w:highlight w:val="none"/>
              </w:rPr>
            </w:pPr>
            <w:r>
              <w:rPr>
                <w:rFonts w:hint="eastAsia" w:ascii="宋体" w:hAnsi="宋体" w:cs="宋体"/>
                <w:color w:val="000000"/>
                <w:szCs w:val="21"/>
                <w:highlight w:val="none"/>
              </w:rPr>
              <w:t>应急响应机制、漏洞修复、安全保障措施。</w:t>
            </w:r>
            <w:r>
              <w:rPr>
                <w:rFonts w:hint="eastAsia" w:ascii="宋体" w:hAnsi="宋体" w:cs="宋体"/>
                <w:color w:val="000000"/>
                <w:szCs w:val="21"/>
                <w:highlight w:val="none"/>
              </w:rPr>
              <w:br w:type="textWrapping"/>
            </w:r>
            <w:r>
              <w:rPr>
                <w:rFonts w:hint="eastAsia" w:ascii="宋体" w:hAnsi="宋体" w:cs="宋体"/>
                <w:color w:val="000000"/>
                <w:szCs w:val="21"/>
                <w:highlight w:val="none"/>
              </w:rPr>
              <w:t>1. 方案完善，保障有力，响应机制明确，得 2 分；</w:t>
            </w:r>
            <w:r>
              <w:rPr>
                <w:rFonts w:hint="eastAsia" w:ascii="宋体" w:hAnsi="宋体" w:cs="宋体"/>
                <w:color w:val="000000"/>
                <w:szCs w:val="21"/>
                <w:highlight w:val="none"/>
              </w:rPr>
              <w:br w:type="textWrapping"/>
            </w:r>
            <w:r>
              <w:rPr>
                <w:rFonts w:hint="eastAsia" w:ascii="宋体" w:hAnsi="宋体" w:cs="宋体"/>
                <w:color w:val="000000"/>
                <w:szCs w:val="21"/>
                <w:highlight w:val="none"/>
              </w:rPr>
              <w:t>2. 方案基本到位，有基本保障，得 1分；</w:t>
            </w:r>
            <w:r>
              <w:rPr>
                <w:rFonts w:hint="eastAsia" w:ascii="宋体" w:hAnsi="宋体" w:cs="宋体"/>
                <w:color w:val="000000"/>
                <w:szCs w:val="21"/>
                <w:highlight w:val="none"/>
              </w:rPr>
              <w:br w:type="textWrapping"/>
            </w:r>
            <w:r>
              <w:rPr>
                <w:rFonts w:hint="eastAsia" w:ascii="宋体" w:hAnsi="宋体" w:cs="宋体"/>
                <w:color w:val="000000"/>
                <w:szCs w:val="21"/>
                <w:highlight w:val="none"/>
              </w:rPr>
              <w:t>3. 内容缺失或未提供，不得分。</w:t>
            </w:r>
          </w:p>
        </w:tc>
      </w:tr>
      <w:tr w14:paraId="4BC19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9" w:type="dxa"/>
          <w:trHeight w:val="416" w:hRule="atLeast"/>
          <w:jc w:val="center"/>
        </w:trPr>
        <w:tc>
          <w:tcPr>
            <w:tcW w:w="1171" w:type="dxa"/>
            <w:vMerge w:val="continue"/>
            <w:vAlign w:val="center"/>
          </w:tcPr>
          <w:p w14:paraId="501CF5C2">
            <w:pPr>
              <w:spacing w:line="360" w:lineRule="exact"/>
              <w:jc w:val="center"/>
              <w:rPr>
                <w:rFonts w:hint="eastAsia" w:ascii="宋体" w:hAnsi="宋体"/>
                <w:bCs/>
                <w:color w:val="000000"/>
                <w:szCs w:val="21"/>
                <w:highlight w:val="none"/>
              </w:rPr>
            </w:pPr>
          </w:p>
        </w:tc>
        <w:tc>
          <w:tcPr>
            <w:tcW w:w="1199" w:type="dxa"/>
            <w:vAlign w:val="center"/>
          </w:tcPr>
          <w:p w14:paraId="65805E96">
            <w:pPr>
              <w:spacing w:line="276" w:lineRule="auto"/>
              <w:jc w:val="center"/>
              <w:rPr>
                <w:rFonts w:hint="eastAsia" w:ascii="宋体" w:hAnsi="宋体" w:cs="宋体"/>
                <w:color w:val="000000"/>
                <w:szCs w:val="21"/>
                <w:highlight w:val="none"/>
              </w:rPr>
            </w:pPr>
            <w:r>
              <w:rPr>
                <w:rFonts w:hint="eastAsia" w:ascii="宋体" w:hAnsi="宋体" w:cs="宋体"/>
                <w:color w:val="000000"/>
                <w:szCs w:val="21"/>
                <w:highlight w:val="none"/>
              </w:rPr>
              <w:t>售后服务</w:t>
            </w:r>
            <w:r>
              <w:rPr>
                <w:rFonts w:hint="eastAsia" w:ascii="宋体" w:hAnsi="宋体"/>
                <w:bCs/>
                <w:color w:val="000000"/>
                <w:szCs w:val="21"/>
                <w:highlight w:val="none"/>
              </w:rPr>
              <w:t>（</w:t>
            </w:r>
            <w:r>
              <w:rPr>
                <w:rFonts w:hint="eastAsia" w:ascii="宋体" w:hAnsi="宋体"/>
                <w:bCs/>
                <w:color w:val="000000"/>
                <w:szCs w:val="21"/>
                <w:highlight w:val="none"/>
                <w:lang w:val="en-US" w:eastAsia="zh-CN"/>
              </w:rPr>
              <w:t>3</w:t>
            </w:r>
            <w:r>
              <w:rPr>
                <w:rFonts w:hint="eastAsia" w:ascii="宋体" w:hAnsi="宋体"/>
                <w:bCs/>
                <w:color w:val="000000"/>
                <w:szCs w:val="21"/>
                <w:highlight w:val="none"/>
              </w:rPr>
              <w:t>分）</w:t>
            </w:r>
          </w:p>
        </w:tc>
        <w:tc>
          <w:tcPr>
            <w:tcW w:w="6699" w:type="dxa"/>
            <w:vAlign w:val="center"/>
          </w:tcPr>
          <w:p w14:paraId="7BAB1FF6">
            <w:pPr>
              <w:spacing w:line="276" w:lineRule="auto"/>
              <w:rPr>
                <w:color w:val="000000"/>
                <w:szCs w:val="21"/>
                <w:highlight w:val="none"/>
              </w:rPr>
            </w:pPr>
            <w:r>
              <w:rPr>
                <w:rFonts w:hint="eastAsia" w:ascii="宋体" w:hAnsi="宋体" w:cs="新宋体"/>
                <w:color w:val="000000"/>
                <w:szCs w:val="21"/>
                <w:highlight w:val="none"/>
              </w:rPr>
              <w:t>根据</w:t>
            </w:r>
            <w:r>
              <w:rPr>
                <w:rFonts w:ascii="宋体" w:hAnsi="宋体" w:cs="新宋体"/>
                <w:color w:val="000000"/>
                <w:szCs w:val="21"/>
                <w:highlight w:val="none"/>
              </w:rPr>
              <w:t>投标人的售后服务</w:t>
            </w:r>
            <w:r>
              <w:rPr>
                <w:rFonts w:hint="eastAsia" w:ascii="宋体" w:hAnsi="宋体" w:cs="新宋体"/>
                <w:color w:val="000000"/>
                <w:szCs w:val="21"/>
                <w:highlight w:val="none"/>
              </w:rPr>
              <w:t>、技术支持能力、响应时效、诊断模型后续优化服务。</w:t>
            </w:r>
            <w:r>
              <w:rPr>
                <w:rFonts w:ascii="宋体" w:hAnsi="宋体" w:cs="新宋体"/>
                <w:color w:val="000000"/>
                <w:szCs w:val="21"/>
                <w:highlight w:val="none"/>
              </w:rPr>
              <w:t>承诺</w:t>
            </w:r>
            <w:r>
              <w:rPr>
                <w:rFonts w:hint="eastAsia" w:ascii="宋体" w:hAnsi="宋体" w:cs="新宋体"/>
                <w:color w:val="000000"/>
                <w:szCs w:val="21"/>
                <w:highlight w:val="none"/>
              </w:rPr>
              <w:t>优劣进行综合比较评价：</w:t>
            </w:r>
            <w:r>
              <w:rPr>
                <w:rFonts w:hint="eastAsia" w:ascii="宋体" w:hAnsi="宋体" w:cs="新宋体"/>
                <w:color w:val="000000"/>
                <w:szCs w:val="21"/>
                <w:highlight w:val="none"/>
              </w:rPr>
              <w:br w:type="textWrapping"/>
            </w:r>
            <w:r>
              <w:rPr>
                <w:rFonts w:hint="eastAsia" w:ascii="宋体" w:hAnsi="宋体" w:cs="新宋体"/>
                <w:color w:val="000000"/>
                <w:szCs w:val="21"/>
                <w:highlight w:val="none"/>
              </w:rPr>
              <w:t>1. 体系完善、措施可行，含模型迭代优化承诺，响应快、程度高，得 3 分；</w:t>
            </w:r>
            <w:r>
              <w:rPr>
                <w:rFonts w:hint="eastAsia" w:ascii="宋体" w:hAnsi="宋体" w:cs="新宋体"/>
                <w:color w:val="000000"/>
                <w:szCs w:val="21"/>
                <w:highlight w:val="none"/>
              </w:rPr>
              <w:br w:type="textWrapping"/>
            </w:r>
            <w:r>
              <w:rPr>
                <w:rFonts w:hint="eastAsia" w:ascii="宋体" w:hAnsi="宋体" w:cs="新宋体"/>
                <w:color w:val="000000"/>
                <w:szCs w:val="21"/>
                <w:highlight w:val="none"/>
              </w:rPr>
              <w:t>2. 体系较完备，支持能力较强，响应较快，得 2 分；</w:t>
            </w:r>
            <w:r>
              <w:rPr>
                <w:rFonts w:hint="eastAsia" w:ascii="宋体" w:hAnsi="宋体" w:cs="新宋体"/>
                <w:color w:val="000000"/>
                <w:szCs w:val="21"/>
                <w:highlight w:val="none"/>
              </w:rPr>
              <w:br w:type="textWrapping"/>
            </w:r>
            <w:r>
              <w:rPr>
                <w:rFonts w:hint="eastAsia" w:ascii="宋体" w:hAnsi="宋体" w:cs="新宋体"/>
                <w:color w:val="000000"/>
                <w:szCs w:val="21"/>
                <w:highlight w:val="none"/>
              </w:rPr>
              <w:t>3. 基本符合要求，但支持能力和响应速度一般，得 1分；</w:t>
            </w:r>
            <w:r>
              <w:rPr>
                <w:rFonts w:hint="eastAsia" w:ascii="宋体" w:hAnsi="宋体" w:cs="新宋体"/>
                <w:color w:val="000000"/>
                <w:szCs w:val="21"/>
                <w:highlight w:val="none"/>
              </w:rPr>
              <w:br w:type="textWrapping"/>
            </w:r>
            <w:r>
              <w:rPr>
                <w:rFonts w:hint="eastAsia" w:ascii="宋体" w:hAnsi="宋体" w:cs="新宋体"/>
                <w:color w:val="000000"/>
                <w:szCs w:val="21"/>
                <w:highlight w:val="none"/>
              </w:rPr>
              <w:t>4. 内容缺失不得分。</w:t>
            </w:r>
          </w:p>
        </w:tc>
      </w:tr>
      <w:tr w14:paraId="25B18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9" w:type="dxa"/>
          <w:trHeight w:val="2732" w:hRule="atLeast"/>
          <w:jc w:val="center"/>
        </w:trPr>
        <w:tc>
          <w:tcPr>
            <w:tcW w:w="1171" w:type="dxa"/>
            <w:vMerge w:val="continue"/>
            <w:vAlign w:val="center"/>
          </w:tcPr>
          <w:p w14:paraId="3E8C14FD">
            <w:pPr>
              <w:spacing w:line="360" w:lineRule="exact"/>
              <w:jc w:val="center"/>
              <w:rPr>
                <w:rFonts w:hint="eastAsia" w:ascii="宋体" w:hAnsi="宋体"/>
                <w:bCs/>
                <w:color w:val="000000"/>
                <w:szCs w:val="21"/>
                <w:highlight w:val="none"/>
              </w:rPr>
            </w:pPr>
          </w:p>
        </w:tc>
        <w:tc>
          <w:tcPr>
            <w:tcW w:w="1199" w:type="dxa"/>
            <w:vAlign w:val="center"/>
          </w:tcPr>
          <w:p w14:paraId="5E0A4BD7">
            <w:pPr>
              <w:spacing w:line="276" w:lineRule="auto"/>
              <w:rPr>
                <w:rFonts w:hint="eastAsia" w:ascii="宋体" w:hAnsi="宋体" w:cs="新宋体"/>
                <w:color w:val="000000"/>
                <w:szCs w:val="21"/>
                <w:highlight w:val="none"/>
              </w:rPr>
            </w:pPr>
            <w:r>
              <w:rPr>
                <w:rFonts w:hint="eastAsia" w:ascii="宋体" w:hAnsi="宋体" w:cs="新宋体"/>
                <w:color w:val="000000"/>
                <w:szCs w:val="21"/>
                <w:highlight w:val="none"/>
              </w:rPr>
              <w:t>项目培训（3分）</w:t>
            </w:r>
          </w:p>
        </w:tc>
        <w:tc>
          <w:tcPr>
            <w:tcW w:w="6699" w:type="dxa"/>
            <w:vAlign w:val="center"/>
          </w:tcPr>
          <w:p w14:paraId="0809BB2B">
            <w:pPr>
              <w:tabs>
                <w:tab w:val="left" w:pos="720"/>
                <w:tab w:val="left" w:pos="1980"/>
                <w:tab w:val="left" w:pos="7560"/>
              </w:tabs>
              <w:spacing w:line="276" w:lineRule="auto"/>
              <w:rPr>
                <w:rFonts w:hint="eastAsia" w:ascii="宋体" w:hAnsi="宋体" w:cs="新宋体"/>
                <w:color w:val="000000"/>
                <w:szCs w:val="21"/>
                <w:highlight w:val="none"/>
              </w:rPr>
            </w:pPr>
            <w:r>
              <w:rPr>
                <w:rFonts w:hint="eastAsia" w:ascii="宋体" w:hAnsi="宋体" w:cs="新宋体"/>
                <w:color w:val="000000"/>
                <w:szCs w:val="21"/>
                <w:highlight w:val="none"/>
              </w:rPr>
              <w:t>根据投标人的培训计划优劣进行综合比较评价，包含管理员培训、操作员培训、智能诊断与数据分析功能专项培训、培训手册。</w:t>
            </w:r>
          </w:p>
          <w:p w14:paraId="3A609E7C">
            <w:pPr>
              <w:tabs>
                <w:tab w:val="left" w:pos="720"/>
                <w:tab w:val="left" w:pos="1980"/>
                <w:tab w:val="left" w:pos="7560"/>
              </w:tabs>
              <w:spacing w:line="276" w:lineRule="auto"/>
              <w:rPr>
                <w:rFonts w:hint="eastAsia" w:ascii="宋体" w:hAnsi="宋体" w:cs="新宋体"/>
                <w:color w:val="000000"/>
                <w:szCs w:val="21"/>
                <w:highlight w:val="none"/>
              </w:rPr>
            </w:pPr>
            <w:r>
              <w:rPr>
                <w:rFonts w:hint="eastAsia" w:ascii="宋体" w:hAnsi="宋体" w:cs="新宋体"/>
                <w:color w:val="000000"/>
                <w:szCs w:val="21"/>
                <w:highlight w:val="none"/>
              </w:rPr>
              <w:t>1.培训计划针对性强、非常完善、完全合理、完全满足采购人需求的为优，得</w:t>
            </w:r>
            <w:r>
              <w:rPr>
                <w:rFonts w:ascii="宋体" w:hAnsi="宋体" w:cs="新宋体"/>
                <w:color w:val="000000"/>
                <w:szCs w:val="21"/>
                <w:highlight w:val="none"/>
              </w:rPr>
              <w:t>3</w:t>
            </w:r>
            <w:r>
              <w:rPr>
                <w:rFonts w:hint="eastAsia" w:ascii="宋体" w:hAnsi="宋体" w:cs="新宋体"/>
                <w:color w:val="000000"/>
                <w:szCs w:val="21"/>
                <w:highlight w:val="none"/>
              </w:rPr>
              <w:t>分。</w:t>
            </w:r>
          </w:p>
          <w:p w14:paraId="6F317E33">
            <w:pPr>
              <w:tabs>
                <w:tab w:val="left" w:pos="720"/>
                <w:tab w:val="left" w:pos="1980"/>
                <w:tab w:val="left" w:pos="7560"/>
              </w:tabs>
              <w:spacing w:line="276" w:lineRule="auto"/>
              <w:rPr>
                <w:rFonts w:hint="eastAsia" w:ascii="宋体" w:hAnsi="宋体" w:cs="新宋体"/>
                <w:color w:val="000000"/>
                <w:szCs w:val="21"/>
                <w:highlight w:val="none"/>
              </w:rPr>
            </w:pPr>
            <w:r>
              <w:rPr>
                <w:rFonts w:hint="eastAsia" w:ascii="宋体" w:hAnsi="宋体" w:cs="新宋体"/>
                <w:color w:val="000000"/>
                <w:szCs w:val="21"/>
                <w:highlight w:val="none"/>
              </w:rPr>
              <w:t>2.培训计划针对性较强、比较完善、比较合理、基本满足采购人需求为良，得</w:t>
            </w:r>
            <w:r>
              <w:rPr>
                <w:rFonts w:ascii="宋体" w:hAnsi="宋体" w:cs="新宋体"/>
                <w:color w:val="000000"/>
                <w:szCs w:val="21"/>
                <w:highlight w:val="none"/>
              </w:rPr>
              <w:t>2</w:t>
            </w:r>
            <w:r>
              <w:rPr>
                <w:rFonts w:hint="eastAsia" w:ascii="宋体" w:hAnsi="宋体" w:cs="新宋体"/>
                <w:color w:val="000000"/>
                <w:szCs w:val="21"/>
                <w:highlight w:val="none"/>
              </w:rPr>
              <w:t>分。</w:t>
            </w:r>
          </w:p>
          <w:p w14:paraId="6A7676DC">
            <w:pPr>
              <w:tabs>
                <w:tab w:val="left" w:pos="720"/>
                <w:tab w:val="left" w:pos="1980"/>
                <w:tab w:val="left" w:pos="7560"/>
              </w:tabs>
              <w:spacing w:line="276" w:lineRule="auto"/>
              <w:rPr>
                <w:rFonts w:hint="eastAsia" w:ascii="宋体" w:hAnsi="宋体" w:cs="新宋体"/>
                <w:color w:val="000000"/>
                <w:szCs w:val="21"/>
                <w:highlight w:val="none"/>
              </w:rPr>
            </w:pPr>
            <w:r>
              <w:rPr>
                <w:rFonts w:hint="eastAsia" w:ascii="宋体" w:hAnsi="宋体" w:cs="新宋体"/>
                <w:color w:val="000000"/>
                <w:szCs w:val="21"/>
                <w:highlight w:val="none"/>
              </w:rPr>
              <w:t>3.培训计划针对性一般、不够完善、不够合理、不能满足采购人需求为差，得1分。</w:t>
            </w:r>
          </w:p>
          <w:p w14:paraId="3EAF8E71">
            <w:pPr>
              <w:spacing w:line="276" w:lineRule="auto"/>
              <w:rPr>
                <w:rFonts w:hint="eastAsia" w:ascii="宋体" w:hAnsi="宋体" w:cs="新宋体"/>
                <w:color w:val="000000"/>
                <w:szCs w:val="21"/>
                <w:highlight w:val="none"/>
              </w:rPr>
            </w:pPr>
            <w:r>
              <w:rPr>
                <w:rFonts w:hint="eastAsia" w:ascii="宋体" w:hAnsi="宋体" w:cs="新宋体"/>
                <w:color w:val="000000"/>
                <w:szCs w:val="21"/>
                <w:highlight w:val="none"/>
              </w:rPr>
              <w:t>4.相关内容缺失，不得分。</w:t>
            </w:r>
          </w:p>
        </w:tc>
      </w:tr>
    </w:tbl>
    <w:p w14:paraId="62407BC0">
      <w:pPr>
        <w:spacing w:line="560" w:lineRule="exact"/>
        <w:ind w:right="-153" w:rightChars="-73"/>
        <w:rPr>
          <w:rFonts w:hint="eastAsia" w:ascii="宋体" w:hAnsi="宋体" w:cs="宋体"/>
          <w:b/>
          <w:szCs w:val="21"/>
          <w:highlight w:val="none"/>
        </w:rPr>
        <w:sectPr>
          <w:headerReference r:id="rId13" w:type="default"/>
          <w:pgSz w:w="11906" w:h="16838"/>
          <w:pgMar w:top="1440" w:right="1800" w:bottom="1440" w:left="1800" w:header="851" w:footer="992" w:gutter="0"/>
          <w:cols w:space="425" w:num="1"/>
          <w:docGrid w:type="lines" w:linePitch="312" w:charSpace="0"/>
        </w:sectPr>
      </w:pPr>
    </w:p>
    <w:p w14:paraId="20FDA6C1">
      <w:pPr>
        <w:pStyle w:val="4"/>
        <w:numPr>
          <w:ilvl w:val="0"/>
          <w:numId w:val="4"/>
        </w:numPr>
        <w:tabs>
          <w:tab w:val="left" w:pos="223"/>
          <w:tab w:val="left" w:pos="285"/>
          <w:tab w:val="left" w:pos="298"/>
          <w:tab w:val="left" w:pos="335"/>
        </w:tabs>
        <w:rPr>
          <w:rFonts w:hint="eastAsia" w:ascii="宋体" w:hAnsi="宋体" w:cs="宋体"/>
          <w:sz w:val="21"/>
          <w:szCs w:val="21"/>
          <w:highlight w:val="none"/>
        </w:rPr>
      </w:pPr>
      <w:bookmarkStart w:id="398" w:name="_Toc4068"/>
      <w:bookmarkStart w:id="399" w:name="_Toc17626"/>
      <w:bookmarkStart w:id="400" w:name="_Toc1267"/>
      <w:bookmarkStart w:id="401" w:name="_Toc27087"/>
      <w:r>
        <w:rPr>
          <w:rFonts w:hint="eastAsia" w:ascii="宋体" w:hAnsi="宋体" w:cs="宋体"/>
          <w:sz w:val="21"/>
          <w:szCs w:val="21"/>
          <w:highlight w:val="none"/>
        </w:rPr>
        <w:t>评审程序</w:t>
      </w:r>
      <w:bookmarkEnd w:id="398"/>
      <w:bookmarkEnd w:id="399"/>
      <w:bookmarkEnd w:id="400"/>
      <w:bookmarkEnd w:id="401"/>
    </w:p>
    <w:p w14:paraId="3DF2EF63">
      <w:pPr>
        <w:pStyle w:val="51"/>
        <w:autoSpaceDE/>
        <w:autoSpaceDN/>
        <w:adjustRightInd/>
        <w:spacing w:line="44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评审工作按以下程序进行：</w:t>
      </w:r>
    </w:p>
    <w:p w14:paraId="2BD6886D">
      <w:pPr>
        <w:pStyle w:val="51"/>
        <w:autoSpaceDE/>
        <w:autoSpaceDN/>
        <w:adjustRightInd/>
        <w:spacing w:line="44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（1）初步评审</w:t>
      </w:r>
    </w:p>
    <w:p w14:paraId="603C80CF">
      <w:pPr>
        <w:pStyle w:val="51"/>
        <w:autoSpaceDE/>
        <w:autoSpaceDN/>
        <w:adjustRightInd/>
        <w:spacing w:line="44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（2）澄清</w:t>
      </w:r>
    </w:p>
    <w:p w14:paraId="0C265C6B">
      <w:pPr>
        <w:pStyle w:val="51"/>
        <w:autoSpaceDE/>
        <w:autoSpaceDN/>
        <w:adjustRightInd/>
        <w:spacing w:line="44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（3）详细评审及推荐候选成交供应商</w:t>
      </w:r>
    </w:p>
    <w:p w14:paraId="36B438D5">
      <w:pPr>
        <w:pStyle w:val="51"/>
        <w:autoSpaceDE/>
        <w:autoSpaceDN/>
        <w:adjustRightInd/>
        <w:spacing w:line="44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（4）编写评审报告</w:t>
      </w:r>
    </w:p>
    <w:p w14:paraId="3AF5138E">
      <w:pPr>
        <w:pStyle w:val="4"/>
        <w:numPr>
          <w:ilvl w:val="0"/>
          <w:numId w:val="4"/>
        </w:numPr>
        <w:tabs>
          <w:tab w:val="left" w:pos="348"/>
        </w:tabs>
        <w:rPr>
          <w:rFonts w:hint="eastAsia" w:ascii="宋体" w:hAnsi="宋体" w:cs="宋体"/>
          <w:sz w:val="21"/>
          <w:szCs w:val="21"/>
          <w:highlight w:val="none"/>
        </w:rPr>
      </w:pPr>
      <w:bookmarkStart w:id="402" w:name="_Toc19716"/>
      <w:bookmarkStart w:id="403" w:name="_Toc26489"/>
      <w:bookmarkStart w:id="404" w:name="_Toc30306"/>
      <w:bookmarkStart w:id="405" w:name="_Toc3203"/>
      <w:r>
        <w:rPr>
          <w:rFonts w:hint="eastAsia" w:ascii="宋体" w:hAnsi="宋体" w:cs="宋体"/>
          <w:sz w:val="21"/>
          <w:szCs w:val="21"/>
          <w:highlight w:val="none"/>
        </w:rPr>
        <w:t>初步评审</w:t>
      </w:r>
      <w:bookmarkEnd w:id="402"/>
      <w:bookmarkEnd w:id="403"/>
      <w:bookmarkEnd w:id="404"/>
      <w:bookmarkEnd w:id="405"/>
    </w:p>
    <w:p w14:paraId="66FBEFB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2.1采购人或采购代理机构应组织评审小组对供应商提交的响应文件进行初步评审。初步评审包括对供应商进行资格审查和对响应文件的形式及响应性进行审查，判断供应商是否符合资格条件、响应文件是否实质性响应采购文件的要求。未通过初步评审的供应商将不进入详细评审。具体评审内容详见评审办法前附表。</w:t>
      </w:r>
    </w:p>
    <w:p w14:paraId="6A2779F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2.2在评审小组提出要求时，采购人或采购代理机构可就采购文件中的一些重要信息，包括采购范围、</w:t>
      </w:r>
      <w:r>
        <w:rPr>
          <w:rFonts w:hint="eastAsia" w:ascii="宋体" w:hAnsi="宋体"/>
          <w:szCs w:val="21"/>
          <w:highlight w:val="none"/>
          <w:lang w:val="en-US" w:eastAsia="zh-CN"/>
        </w:rPr>
        <w:t>采购需求</w:t>
      </w:r>
      <w:r>
        <w:rPr>
          <w:rFonts w:hint="eastAsia" w:ascii="宋体" w:hAnsi="宋体" w:cs="宋体"/>
          <w:szCs w:val="21"/>
          <w:highlight w:val="none"/>
        </w:rPr>
        <w:t>、响应报价要求、评审标准和方法、合同主要条款等内容进行解释或说明。</w:t>
      </w:r>
    </w:p>
    <w:p w14:paraId="077E238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2.3通过初步评审的供应商不足三家的，可以继续评审；通过初步评审的供应商不足三家，评审小组认为价格竞争不充分且明显超出采购人预期价格，或明显超出相关市场信息共享平台公开的市场价格的，采购人可决定由评审小组直接参照谈判采购方式（适用于两家供应商的情形）或直接采购方式（适用于一家供应商的情形）与供应商谈判后确定成交供应商及其成交价格，也可重新组织采购活动。</w:t>
      </w:r>
    </w:p>
    <w:p w14:paraId="0D262AD2">
      <w:pPr>
        <w:pStyle w:val="4"/>
        <w:numPr>
          <w:ilvl w:val="0"/>
          <w:numId w:val="4"/>
        </w:numPr>
        <w:tabs>
          <w:tab w:val="left" w:pos="323"/>
        </w:tabs>
        <w:rPr>
          <w:rFonts w:hint="eastAsia" w:ascii="宋体" w:hAnsi="宋体" w:cs="宋体"/>
          <w:sz w:val="21"/>
          <w:szCs w:val="21"/>
          <w:highlight w:val="none"/>
        </w:rPr>
      </w:pPr>
      <w:bookmarkStart w:id="406" w:name="_Toc32454"/>
      <w:bookmarkStart w:id="407" w:name="_Toc30163"/>
      <w:bookmarkStart w:id="408" w:name="_Toc25850"/>
      <w:bookmarkStart w:id="409" w:name="_Toc9353"/>
      <w:r>
        <w:rPr>
          <w:rFonts w:hint="eastAsia" w:ascii="宋体" w:hAnsi="宋体" w:cs="宋体"/>
          <w:sz w:val="21"/>
          <w:szCs w:val="21"/>
          <w:highlight w:val="none"/>
        </w:rPr>
        <w:t>澄清</w:t>
      </w:r>
      <w:bookmarkEnd w:id="406"/>
      <w:bookmarkEnd w:id="407"/>
      <w:bookmarkEnd w:id="408"/>
      <w:bookmarkEnd w:id="409"/>
    </w:p>
    <w:p w14:paraId="0C456AE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3.1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14:paraId="5E238ECA">
      <w:pPr>
        <w:pStyle w:val="4"/>
        <w:numPr>
          <w:ilvl w:val="0"/>
          <w:numId w:val="4"/>
        </w:numPr>
        <w:tabs>
          <w:tab w:val="left" w:pos="248"/>
          <w:tab w:val="left" w:pos="285"/>
          <w:tab w:val="left" w:pos="298"/>
          <w:tab w:val="left" w:pos="385"/>
        </w:tabs>
        <w:rPr>
          <w:rFonts w:hint="eastAsia" w:ascii="宋体" w:hAnsi="宋体" w:cs="宋体"/>
          <w:sz w:val="21"/>
          <w:szCs w:val="21"/>
          <w:highlight w:val="none"/>
        </w:rPr>
      </w:pPr>
      <w:bookmarkStart w:id="410" w:name="_Toc2035"/>
      <w:bookmarkStart w:id="411" w:name="_Toc8897"/>
      <w:bookmarkStart w:id="412" w:name="_Toc21777"/>
      <w:bookmarkStart w:id="413" w:name="_Toc29836"/>
      <w:r>
        <w:rPr>
          <w:rFonts w:hint="eastAsia" w:ascii="宋体" w:hAnsi="宋体" w:cs="宋体"/>
          <w:sz w:val="21"/>
          <w:szCs w:val="21"/>
          <w:highlight w:val="none"/>
        </w:rPr>
        <w:t>详细评审及推荐候选成交供应商</w:t>
      </w:r>
      <w:bookmarkEnd w:id="410"/>
      <w:bookmarkEnd w:id="411"/>
      <w:bookmarkEnd w:id="412"/>
      <w:bookmarkEnd w:id="413"/>
    </w:p>
    <w:p w14:paraId="1529B7E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4.1评审方法</w:t>
      </w:r>
    </w:p>
    <w:p w14:paraId="7C8198B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4.1.1评审小组仅对通过初步评审的供应商依据采购文件规定的评审办法进行详细评审，具体评审内容详见评审办法前附表。</w:t>
      </w:r>
    </w:p>
    <w:p w14:paraId="12CCCFB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4.1.2本项目采用“综合评分法”的评审办法，评审小组对通过初步评审的供应商的响应文件进行详细评审后，依据供应商综合得分由高到低的顺序，推荐3名成交候选人，若成交候选人不足三家，则据实推荐，并标明排列顺序。</w:t>
      </w:r>
    </w:p>
    <w:p w14:paraId="5648951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4.2详细评审细则</w:t>
      </w:r>
    </w:p>
    <w:p w14:paraId="398C5A6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评审采用百分制，评审小组各成员分别独立对实质上响应采购文件的供应商进行逐项评价打分，对评审小组各成员每一因素的打分汇总后取平均分（保留两位小数），该平均分为供应商的得分。</w:t>
      </w:r>
    </w:p>
    <w:p w14:paraId="5874694C">
      <w:pPr>
        <w:pStyle w:val="4"/>
        <w:numPr>
          <w:ilvl w:val="0"/>
          <w:numId w:val="4"/>
        </w:numPr>
        <w:tabs>
          <w:tab w:val="left" w:pos="310"/>
        </w:tabs>
        <w:rPr>
          <w:rFonts w:hint="eastAsia" w:ascii="宋体" w:hAnsi="宋体" w:cs="宋体"/>
          <w:sz w:val="21"/>
          <w:szCs w:val="21"/>
          <w:highlight w:val="none"/>
        </w:rPr>
      </w:pPr>
      <w:bookmarkStart w:id="414" w:name="_Toc16684"/>
      <w:bookmarkStart w:id="415" w:name="_Toc1959"/>
      <w:bookmarkStart w:id="416" w:name="_Toc17295"/>
      <w:bookmarkStart w:id="417" w:name="_Toc4514"/>
      <w:r>
        <w:rPr>
          <w:rFonts w:hint="eastAsia" w:ascii="宋体" w:hAnsi="宋体" w:cs="宋体"/>
          <w:sz w:val="21"/>
          <w:szCs w:val="21"/>
          <w:highlight w:val="none"/>
        </w:rPr>
        <w:t>编写评审报告</w:t>
      </w:r>
      <w:bookmarkEnd w:id="414"/>
      <w:bookmarkEnd w:id="415"/>
      <w:bookmarkEnd w:id="416"/>
      <w:bookmarkEnd w:id="417"/>
    </w:p>
    <w:p w14:paraId="04F8609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5.1评审小组应根据评审记录和评审结果编写评审报告。评审报告应由评审小组全体成员签字。评审小组成员对评审报告有异议的，评审小组按照少数服从多数的原则推荐候选成交供应商。对报告有异议的评审小组成员，应在报告上签署不同意见并说明理由。评审小组成员拒绝在评审报告上签字又不书面说明其不同意见和理由的，视为同意。</w:t>
      </w:r>
    </w:p>
    <w:p w14:paraId="479DCAA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询比采购评审报告应包括以下主要内容：</w:t>
      </w:r>
    </w:p>
    <w:p w14:paraId="0B7568E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(1)邀请供应商参加釆购活动的具体方式和相关情况，以及参加采购活动的供应商名单；</w:t>
      </w:r>
    </w:p>
    <w:p w14:paraId="32462AC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(2)评审小组名单； </w:t>
      </w:r>
    </w:p>
    <w:p w14:paraId="48E3EB5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(3)开启会议记录表；</w:t>
      </w:r>
    </w:p>
    <w:p w14:paraId="6AC904C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(4)评审情况说明（包括对供应商的资格审查情况、供应商响应文件评审情况、无效响应文件情况说明等）； </w:t>
      </w:r>
    </w:p>
    <w:p w14:paraId="3CCA519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(5)供应商价格比较一览表（最低价法）或供应商评分比较一览表（综合评分法）；</w:t>
      </w:r>
    </w:p>
    <w:p w14:paraId="38A9DAC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(6)评审后的供应商排序； </w:t>
      </w:r>
    </w:p>
    <w:p w14:paraId="673A45C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(7)推荐的候选成交供应商的名单与签订合同前要处理的事宜；</w:t>
      </w:r>
    </w:p>
    <w:p w14:paraId="4194B6F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(8)澄清、说明、补正事项纪要。</w:t>
      </w:r>
    </w:p>
    <w:p w14:paraId="013B23D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5.2采购人或采购代理机构收到评审小组完成的采购评审报告后，应对评审报告内容进行形式复核，发现问题应及时告知评审小组进行必要的修改完善。形式复核一般包括：</w:t>
      </w:r>
    </w:p>
    <w:p w14:paraId="54DB360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（1）评审报告内容及所附文件、表格是否完整、清晰；</w:t>
      </w:r>
    </w:p>
    <w:p w14:paraId="78B5014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（2）评审小组成员签字是否齐全；</w:t>
      </w:r>
    </w:p>
    <w:p w14:paraId="52FF492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（3）涂改处是否有小签、计算是否有错误；</w:t>
      </w:r>
    </w:p>
    <w:p w14:paraId="26A62BEB">
      <w:pPr>
        <w:spacing w:line="360" w:lineRule="auto"/>
        <w:ind w:firstLine="420" w:firstLineChars="200"/>
        <w:rPr>
          <w:rFonts w:hint="eastAsia" w:ascii="宋体" w:hAnsi="宋体" w:cs="宋体"/>
          <w:highlight w:val="none"/>
        </w:rPr>
      </w:pPr>
      <w:r>
        <w:rPr>
          <w:rFonts w:hint="eastAsia" w:ascii="宋体" w:hAnsi="宋体" w:cs="宋体"/>
          <w:szCs w:val="21"/>
          <w:highlight w:val="none"/>
        </w:rPr>
        <w:t>（4）推荐的候选成交供应商数量是否符合采购文件规定。</w:t>
      </w:r>
    </w:p>
    <w:p w14:paraId="4FEFAC8A">
      <w:pPr>
        <w:rPr>
          <w:rFonts w:hint="eastAsia" w:ascii="宋体" w:hAnsi="宋体" w:cs="宋体"/>
          <w:highlight w:val="none"/>
        </w:rPr>
      </w:pPr>
    </w:p>
    <w:p w14:paraId="38BAFFA0">
      <w:pPr>
        <w:rPr>
          <w:rFonts w:hint="eastAsia" w:ascii="宋体" w:hAnsi="宋体" w:cs="宋体"/>
          <w:highlight w:val="none"/>
        </w:rPr>
      </w:pPr>
    </w:p>
    <w:p w14:paraId="78ED80A0">
      <w:pPr>
        <w:pStyle w:val="17"/>
        <w:rPr>
          <w:rFonts w:hint="eastAsia" w:hAnsi="宋体" w:cs="宋体"/>
          <w:highlight w:val="none"/>
        </w:rPr>
      </w:pPr>
    </w:p>
    <w:p w14:paraId="4A6C82B8">
      <w:pPr>
        <w:pStyle w:val="18"/>
        <w:rPr>
          <w:rFonts w:hint="eastAsia" w:ascii="宋体" w:hAnsi="宋体" w:cs="宋体"/>
          <w:highlight w:val="none"/>
        </w:rPr>
      </w:pPr>
    </w:p>
    <w:p w14:paraId="3FDFABC7">
      <w:pPr>
        <w:rPr>
          <w:rFonts w:hint="eastAsia" w:ascii="宋体" w:hAnsi="宋体" w:cs="宋体"/>
          <w:highlight w:val="none"/>
        </w:rPr>
      </w:pPr>
    </w:p>
    <w:p w14:paraId="02CDD075">
      <w:pPr>
        <w:pStyle w:val="17"/>
        <w:rPr>
          <w:rFonts w:hint="eastAsia" w:hAnsi="宋体" w:cs="宋体"/>
          <w:highlight w:val="none"/>
        </w:rPr>
      </w:pPr>
    </w:p>
    <w:p w14:paraId="2CC2BFD8">
      <w:pPr>
        <w:pStyle w:val="18"/>
        <w:rPr>
          <w:rFonts w:hint="eastAsia" w:ascii="宋体" w:hAnsi="宋体" w:cs="宋体"/>
          <w:highlight w:val="none"/>
        </w:rPr>
      </w:pPr>
    </w:p>
    <w:p w14:paraId="464682CF">
      <w:pPr>
        <w:rPr>
          <w:rFonts w:hint="eastAsia" w:ascii="宋体" w:hAnsi="宋体" w:cs="宋体"/>
          <w:highlight w:val="none"/>
        </w:rPr>
      </w:pPr>
    </w:p>
    <w:p w14:paraId="1A1518AB">
      <w:pPr>
        <w:rPr>
          <w:rFonts w:hint="eastAsia" w:ascii="宋体" w:hAnsi="宋体" w:cs="宋体"/>
          <w:highlight w:val="none"/>
        </w:rPr>
      </w:pPr>
    </w:p>
    <w:p w14:paraId="366006F4">
      <w:pPr>
        <w:rPr>
          <w:rFonts w:hint="eastAsia" w:ascii="宋体" w:hAnsi="宋体" w:cs="宋体"/>
          <w:highlight w:val="none"/>
        </w:rPr>
      </w:pPr>
    </w:p>
    <w:p w14:paraId="1CF78646">
      <w:pPr>
        <w:spacing w:line="560" w:lineRule="exact"/>
        <w:ind w:right="-153" w:rightChars="-73"/>
        <w:jc w:val="center"/>
        <w:rPr>
          <w:rFonts w:hint="eastAsia" w:ascii="宋体" w:hAnsi="宋体" w:cs="宋体"/>
          <w:b/>
          <w:sz w:val="52"/>
          <w:szCs w:val="48"/>
          <w:highlight w:val="none"/>
        </w:rPr>
      </w:pPr>
    </w:p>
    <w:p w14:paraId="5EE6F7C8">
      <w:pPr>
        <w:spacing w:line="560" w:lineRule="exact"/>
        <w:ind w:right="-153" w:rightChars="-73"/>
        <w:jc w:val="center"/>
        <w:rPr>
          <w:rFonts w:hint="eastAsia" w:ascii="宋体" w:hAnsi="宋体" w:cs="宋体"/>
          <w:b/>
          <w:sz w:val="52"/>
          <w:szCs w:val="48"/>
          <w:highlight w:val="none"/>
        </w:rPr>
      </w:pPr>
    </w:p>
    <w:p w14:paraId="5DBC9104">
      <w:pPr>
        <w:spacing w:line="560" w:lineRule="exact"/>
        <w:ind w:right="-153" w:rightChars="-73"/>
        <w:jc w:val="center"/>
        <w:rPr>
          <w:rFonts w:hint="eastAsia" w:ascii="宋体" w:hAnsi="宋体" w:cs="宋体"/>
          <w:b/>
          <w:sz w:val="52"/>
          <w:szCs w:val="48"/>
          <w:highlight w:val="none"/>
        </w:rPr>
      </w:pPr>
    </w:p>
    <w:p w14:paraId="26142CBB">
      <w:pPr>
        <w:spacing w:line="560" w:lineRule="exact"/>
        <w:ind w:right="-153" w:rightChars="-73"/>
        <w:jc w:val="center"/>
        <w:rPr>
          <w:rFonts w:hint="eastAsia" w:ascii="宋体" w:hAnsi="宋体" w:cs="宋体"/>
          <w:b/>
          <w:sz w:val="52"/>
          <w:szCs w:val="48"/>
          <w:highlight w:val="none"/>
        </w:rPr>
      </w:pPr>
    </w:p>
    <w:p w14:paraId="6F04D973">
      <w:pPr>
        <w:spacing w:line="560" w:lineRule="exact"/>
        <w:ind w:right="-153" w:rightChars="-73"/>
        <w:jc w:val="center"/>
        <w:rPr>
          <w:rFonts w:hint="eastAsia" w:ascii="宋体" w:hAnsi="宋体" w:cs="宋体"/>
          <w:b/>
          <w:sz w:val="52"/>
          <w:szCs w:val="48"/>
          <w:highlight w:val="none"/>
        </w:rPr>
      </w:pPr>
    </w:p>
    <w:p w14:paraId="2816F09D">
      <w:pPr>
        <w:spacing w:line="560" w:lineRule="exact"/>
        <w:ind w:right="-153" w:rightChars="-73"/>
        <w:jc w:val="center"/>
        <w:rPr>
          <w:rFonts w:hint="eastAsia" w:ascii="宋体" w:hAnsi="宋体" w:cs="宋体"/>
          <w:b/>
          <w:sz w:val="52"/>
          <w:szCs w:val="48"/>
          <w:highlight w:val="none"/>
        </w:rPr>
      </w:pPr>
    </w:p>
    <w:p w14:paraId="131976CD">
      <w:pPr>
        <w:spacing w:line="560" w:lineRule="exact"/>
        <w:ind w:right="-153" w:rightChars="-73"/>
        <w:jc w:val="center"/>
        <w:rPr>
          <w:rFonts w:hint="eastAsia" w:ascii="宋体" w:hAnsi="宋体" w:cs="宋体"/>
          <w:b/>
          <w:sz w:val="52"/>
          <w:szCs w:val="48"/>
          <w:highlight w:val="none"/>
        </w:rPr>
      </w:pPr>
    </w:p>
    <w:p w14:paraId="52EF600D">
      <w:pPr>
        <w:numPr>
          <w:ilvl w:val="0"/>
          <w:numId w:val="5"/>
        </w:numPr>
        <w:spacing w:line="560" w:lineRule="exact"/>
        <w:ind w:right="-153" w:rightChars="-73"/>
        <w:jc w:val="center"/>
        <w:outlineLvl w:val="0"/>
        <w:rPr>
          <w:rFonts w:hint="eastAsia" w:ascii="宋体" w:hAnsi="宋体" w:cs="宋体"/>
          <w:b/>
          <w:sz w:val="52"/>
          <w:szCs w:val="48"/>
          <w:highlight w:val="none"/>
        </w:rPr>
      </w:pPr>
      <w:bookmarkStart w:id="418" w:name="_Toc5864"/>
      <w:r>
        <w:rPr>
          <w:rFonts w:hint="eastAsia" w:ascii="宋体" w:hAnsi="宋体" w:cs="宋体"/>
          <w:b/>
          <w:sz w:val="52"/>
          <w:szCs w:val="48"/>
          <w:highlight w:val="none"/>
        </w:rPr>
        <w:t xml:space="preserve"> 合同条款及格式</w:t>
      </w:r>
      <w:bookmarkEnd w:id="418"/>
    </w:p>
    <w:p w14:paraId="4444BACC">
      <w:pPr>
        <w:pStyle w:val="17"/>
        <w:rPr>
          <w:rFonts w:ascii="Arial" w:hAnsi="Arial" w:cs="Arial"/>
          <w:szCs w:val="21"/>
          <w:highlight w:val="none"/>
        </w:rPr>
      </w:pPr>
      <w:r>
        <w:rPr>
          <w:rFonts w:hint="eastAsia" w:hAnsi="宋体" w:cs="宋体"/>
          <w:b/>
          <w:sz w:val="52"/>
          <w:szCs w:val="48"/>
          <w:highlight w:val="none"/>
        </w:rPr>
        <w:br w:type="page"/>
      </w:r>
      <w:r>
        <w:rPr>
          <w:rFonts w:hint="eastAsia" w:ascii="Arial" w:hAnsi="Arial" w:cs="Arial"/>
          <w:szCs w:val="21"/>
          <w:highlight w:val="none"/>
        </w:rPr>
        <w:t>（本合同主要条款为采购人和成交人拟签订合同的格式，具体合同内容以双方协商一致签订的正式合同为准。）</w:t>
      </w:r>
    </w:p>
    <w:p w14:paraId="1BBF096A">
      <w:pPr>
        <w:widowControl/>
        <w:jc w:val="left"/>
        <w:rPr>
          <w:rFonts w:hint="eastAsia" w:ascii="宋体" w:hAnsi="宋体" w:cs="宋体"/>
          <w:sz w:val="28"/>
          <w:szCs w:val="28"/>
          <w:highlight w:val="none"/>
        </w:rPr>
      </w:pPr>
    </w:p>
    <w:p w14:paraId="64E93539">
      <w:pPr>
        <w:pStyle w:val="2"/>
        <w:numPr>
          <w:ilvl w:val="0"/>
          <w:numId w:val="0"/>
        </w:numPr>
        <w:bidi w:val="0"/>
        <w:ind w:leftChars="0"/>
        <w:jc w:val="center"/>
        <w:rPr>
          <w:rFonts w:hint="eastAsia"/>
          <w:highlight w:val="none"/>
          <w:lang w:val="en-US" w:eastAsia="zh-CN"/>
        </w:rPr>
      </w:pPr>
      <w:r>
        <w:rPr>
          <w:rFonts w:hint="eastAsia"/>
          <w:highlight w:val="none"/>
          <w:lang w:val="en-US" w:eastAsia="zh-CN"/>
        </w:rPr>
        <w:t>技术开发（委托）合同</w:t>
      </w:r>
    </w:p>
    <w:p w14:paraId="4F60DDA7">
      <w:pPr>
        <w:rPr>
          <w:rFonts w:hint="eastAsia"/>
          <w:highlight w:val="none"/>
          <w:lang w:val="en-US" w:eastAsia="zh-CN"/>
        </w:rPr>
      </w:pPr>
    </w:p>
    <w:p w14:paraId="56441272">
      <w:pPr>
        <w:rPr>
          <w:rFonts w:hint="eastAsia"/>
          <w:highlight w:val="none"/>
          <w:lang w:val="en-US" w:eastAsia="zh-CN"/>
        </w:rPr>
      </w:pPr>
    </w:p>
    <w:p w14:paraId="2F0DB666">
      <w:pPr>
        <w:rPr>
          <w:rFonts w:hint="eastAsia"/>
          <w:highlight w:val="none"/>
          <w:lang w:val="en-US" w:eastAsia="zh-CN"/>
        </w:rPr>
      </w:pPr>
    </w:p>
    <w:p w14:paraId="3D414411">
      <w:pPr>
        <w:rPr>
          <w:rFonts w:hint="eastAsia"/>
          <w:highlight w:val="none"/>
          <w:lang w:val="en-US" w:eastAsia="zh-CN"/>
        </w:rPr>
      </w:pPr>
    </w:p>
    <w:p w14:paraId="6DE1514F">
      <w:pPr>
        <w:rPr>
          <w:rFonts w:hint="eastAsia"/>
          <w:highlight w:val="none"/>
          <w:lang w:val="en-US" w:eastAsia="zh-CN"/>
        </w:rPr>
      </w:pPr>
    </w:p>
    <w:p w14:paraId="3234ADFA">
      <w:pPr>
        <w:rPr>
          <w:rFonts w:hint="eastAsia"/>
          <w:highlight w:val="none"/>
          <w:lang w:val="en-US" w:eastAsia="zh-CN"/>
        </w:rPr>
      </w:pPr>
    </w:p>
    <w:p w14:paraId="3B5CCB6D">
      <w:pPr>
        <w:rPr>
          <w:rFonts w:hint="eastAsia"/>
          <w:highlight w:val="none"/>
          <w:lang w:val="en-US" w:eastAsia="zh-CN"/>
        </w:rPr>
      </w:pPr>
    </w:p>
    <w:p w14:paraId="2F72D086">
      <w:pPr>
        <w:rPr>
          <w:rFonts w:hint="eastAsia"/>
          <w:highlight w:val="none"/>
          <w:lang w:val="en-US" w:eastAsia="zh-CN"/>
        </w:rPr>
      </w:pPr>
    </w:p>
    <w:p w14:paraId="58EAD2CB">
      <w:pPr>
        <w:rPr>
          <w:rFonts w:hint="default"/>
          <w:sz w:val="32"/>
          <w:szCs w:val="32"/>
          <w:highlight w:val="none"/>
          <w:lang w:val="en-US" w:eastAsia="zh-CN"/>
        </w:rPr>
      </w:pPr>
      <w:r>
        <w:rPr>
          <w:rFonts w:hint="eastAsia"/>
          <w:sz w:val="32"/>
          <w:szCs w:val="32"/>
          <w:highlight w:val="none"/>
          <w:lang w:val="en-US" w:eastAsia="zh-CN"/>
        </w:rPr>
        <w:t xml:space="preserve">项目名称：     </w:t>
      </w:r>
      <w:r>
        <w:rPr>
          <w:rFonts w:hint="eastAsia"/>
          <w:sz w:val="32"/>
          <w:szCs w:val="32"/>
          <w:highlight w:val="none"/>
          <w:u w:val="single"/>
          <w:lang w:val="en-US" w:eastAsia="zh-CN"/>
        </w:rPr>
        <w:t xml:space="preserve">2026年河南产互联制造业数据智能运营平台研发项目 </w:t>
      </w:r>
    </w:p>
    <w:p w14:paraId="096EA810">
      <w:pPr>
        <w:rPr>
          <w:rFonts w:hint="eastAsia"/>
          <w:sz w:val="32"/>
          <w:szCs w:val="32"/>
          <w:highlight w:val="none"/>
          <w:u w:val="single"/>
          <w:lang w:val="en-US" w:eastAsia="zh-CN"/>
        </w:rPr>
      </w:pPr>
      <w:r>
        <w:rPr>
          <w:rFonts w:hint="eastAsia"/>
          <w:sz w:val="32"/>
          <w:szCs w:val="32"/>
          <w:highlight w:val="none"/>
          <w:lang w:val="en-US" w:eastAsia="zh-CN"/>
        </w:rPr>
        <w:t>委托方（甲方）：</w:t>
      </w:r>
      <w:r>
        <w:rPr>
          <w:rFonts w:hint="eastAsia"/>
          <w:sz w:val="32"/>
          <w:szCs w:val="32"/>
          <w:highlight w:val="none"/>
          <w:u w:val="single"/>
          <w:lang w:val="en-US" w:eastAsia="zh-CN"/>
        </w:rPr>
        <w:t xml:space="preserve">  河南产业互联网联合发展有限公司                </w:t>
      </w:r>
    </w:p>
    <w:p w14:paraId="6CE68AEC">
      <w:pPr>
        <w:rPr>
          <w:rFonts w:hint="default"/>
          <w:sz w:val="32"/>
          <w:szCs w:val="32"/>
          <w:highlight w:val="none"/>
          <w:lang w:val="en-US" w:eastAsia="zh-CN"/>
        </w:rPr>
      </w:pPr>
      <w:r>
        <w:rPr>
          <w:rFonts w:hint="eastAsia"/>
          <w:sz w:val="32"/>
          <w:szCs w:val="32"/>
          <w:highlight w:val="none"/>
          <w:lang w:val="en-US" w:eastAsia="zh-CN"/>
        </w:rPr>
        <w:t>受托方（乙方）：</w:t>
      </w:r>
      <w:r>
        <w:rPr>
          <w:rFonts w:hint="eastAsia"/>
          <w:sz w:val="32"/>
          <w:szCs w:val="32"/>
          <w:highlight w:val="none"/>
          <w:u w:val="single"/>
          <w:lang w:val="en-US" w:eastAsia="zh-CN"/>
        </w:rPr>
        <w:t xml:space="preserve">                                     </w:t>
      </w:r>
    </w:p>
    <w:p w14:paraId="4CB0C574">
      <w:pPr>
        <w:rPr>
          <w:rFonts w:hint="default"/>
          <w:sz w:val="32"/>
          <w:szCs w:val="32"/>
          <w:highlight w:val="none"/>
          <w:lang w:val="en-US" w:eastAsia="zh-CN"/>
        </w:rPr>
      </w:pPr>
      <w:r>
        <w:rPr>
          <w:rFonts w:hint="eastAsia"/>
          <w:sz w:val="32"/>
          <w:szCs w:val="32"/>
          <w:highlight w:val="none"/>
          <w:lang w:val="en-US" w:eastAsia="zh-CN"/>
        </w:rPr>
        <w:t xml:space="preserve">签订时间：     </w:t>
      </w:r>
      <w:r>
        <w:rPr>
          <w:rFonts w:hint="eastAsia"/>
          <w:sz w:val="28"/>
          <w:szCs w:val="28"/>
          <w:highlight w:val="none"/>
          <w:u w:val="single"/>
          <w:lang w:val="en-US" w:eastAsia="zh-CN"/>
        </w:rPr>
        <w:t xml:space="preserve">                                            </w:t>
      </w:r>
    </w:p>
    <w:p w14:paraId="269BB515">
      <w:pPr>
        <w:rPr>
          <w:rFonts w:hint="eastAsia"/>
          <w:sz w:val="32"/>
          <w:szCs w:val="32"/>
          <w:highlight w:val="none"/>
          <w:lang w:val="en-US" w:eastAsia="zh-CN"/>
        </w:rPr>
      </w:pPr>
      <w:r>
        <w:rPr>
          <w:rFonts w:hint="eastAsia"/>
          <w:sz w:val="32"/>
          <w:szCs w:val="32"/>
          <w:highlight w:val="none"/>
          <w:lang w:val="en-US" w:eastAsia="zh-CN"/>
        </w:rPr>
        <w:t xml:space="preserve">签订地点：     </w:t>
      </w:r>
      <w:r>
        <w:rPr>
          <w:rFonts w:hint="eastAsia"/>
          <w:sz w:val="28"/>
          <w:szCs w:val="28"/>
          <w:highlight w:val="none"/>
          <w:u w:val="single"/>
          <w:lang w:val="en-US" w:eastAsia="zh-CN"/>
        </w:rPr>
        <w:t xml:space="preserve">             河南郑州                             </w:t>
      </w:r>
    </w:p>
    <w:p w14:paraId="2F7A73D3">
      <w:pPr>
        <w:rPr>
          <w:rFonts w:hint="default"/>
          <w:highlight w:val="none"/>
          <w:lang w:val="en-US" w:eastAsia="zh-CN"/>
        </w:rPr>
        <w:sectPr>
          <w:pgSz w:w="11906" w:h="16838"/>
          <w:pgMar w:top="1440" w:right="1800" w:bottom="1440" w:left="1800" w:header="851" w:footer="992" w:gutter="0"/>
          <w:cols w:space="425" w:num="1"/>
          <w:docGrid w:type="lines" w:linePitch="312" w:charSpace="0"/>
        </w:sectPr>
      </w:pPr>
      <w:r>
        <w:rPr>
          <w:rFonts w:hint="eastAsia"/>
          <w:sz w:val="32"/>
          <w:szCs w:val="32"/>
          <w:highlight w:val="none"/>
          <w:lang w:val="en-US" w:eastAsia="zh-CN"/>
        </w:rPr>
        <w:t xml:space="preserve">有效期限：     </w:t>
      </w:r>
      <w:r>
        <w:rPr>
          <w:rFonts w:hint="eastAsia"/>
          <w:sz w:val="28"/>
          <w:szCs w:val="28"/>
          <w:highlight w:val="none"/>
          <w:u w:val="single"/>
          <w:lang w:val="en-US" w:eastAsia="zh-CN"/>
        </w:rPr>
        <w:t xml:space="preserve">                                            </w:t>
      </w:r>
    </w:p>
    <w:p w14:paraId="3FA06729">
      <w:pPr>
        <w:pStyle w:val="3"/>
        <w:numPr>
          <w:ilvl w:val="1"/>
          <w:numId w:val="0"/>
        </w:numPr>
        <w:bidi w:val="0"/>
        <w:ind w:left="575" w:leftChars="0" w:hanging="575" w:firstLineChars="0"/>
        <w:jc w:val="center"/>
        <w:rPr>
          <w:rFonts w:hint="eastAsia"/>
          <w:highlight w:val="none"/>
          <w:lang w:val="en-US" w:eastAsia="zh-CN"/>
        </w:rPr>
      </w:pPr>
      <w:r>
        <w:rPr>
          <w:rFonts w:hint="default" w:ascii="Arial" w:hAnsi="Arial" w:eastAsia="黑体" w:cs="Times New Roman"/>
          <w:kern w:val="2"/>
          <w:sz w:val="32"/>
          <w:highlight w:val="none"/>
          <w:lang w:val="en-US" w:eastAsia="zh-CN" w:bidi="ar-SA"/>
        </w:rPr>
        <w:t>1.1.</w:t>
      </w:r>
      <w:r>
        <w:rPr>
          <w:rFonts w:hint="eastAsia"/>
          <w:highlight w:val="none"/>
          <w:lang w:val="en-US" w:eastAsia="zh-CN"/>
        </w:rPr>
        <w:t>填 写 说 明</w:t>
      </w:r>
    </w:p>
    <w:p w14:paraId="01F29036">
      <w:pPr>
        <w:numPr>
          <w:ilvl w:val="0"/>
          <w:numId w:val="6"/>
        </w:numPr>
        <w:bidi w:val="0"/>
        <w:rPr>
          <w:rFonts w:hint="eastAsia"/>
          <w:sz w:val="28"/>
          <w:szCs w:val="28"/>
          <w:highlight w:val="none"/>
          <w:lang w:val="en-US" w:eastAsia="zh-CN"/>
        </w:rPr>
      </w:pPr>
      <w:r>
        <w:rPr>
          <w:rFonts w:hint="eastAsia"/>
          <w:sz w:val="28"/>
          <w:szCs w:val="28"/>
          <w:highlight w:val="none"/>
          <w:lang w:val="en-US" w:eastAsia="zh-CN"/>
        </w:rPr>
        <w:t>本合同为中华人民共和国科学技术部印制的技术开发（委托）合同示范文本，各技术合同认定登记机构可推介技术合同当事人参照使用。</w:t>
      </w:r>
    </w:p>
    <w:p w14:paraId="723AFFE8">
      <w:pPr>
        <w:numPr>
          <w:ilvl w:val="0"/>
          <w:numId w:val="6"/>
        </w:numPr>
        <w:bidi w:val="0"/>
        <w:rPr>
          <w:rFonts w:hint="default"/>
          <w:sz w:val="28"/>
          <w:szCs w:val="28"/>
          <w:highlight w:val="none"/>
          <w:lang w:val="en-US" w:eastAsia="zh-CN"/>
        </w:rPr>
      </w:pPr>
      <w:r>
        <w:rPr>
          <w:rFonts w:hint="eastAsia"/>
          <w:sz w:val="28"/>
          <w:szCs w:val="28"/>
          <w:highlight w:val="none"/>
          <w:lang w:val="en-US" w:eastAsia="zh-CN"/>
        </w:rPr>
        <w:t>本合同书适用于一方当事人委托另一方当事人进行新技术、新产品、新工艺、或者新材料及其系统的研究开发所订立的技术开发合同。</w:t>
      </w:r>
    </w:p>
    <w:p w14:paraId="6E879B56">
      <w:pPr>
        <w:numPr>
          <w:ilvl w:val="0"/>
          <w:numId w:val="6"/>
        </w:numPr>
        <w:bidi w:val="0"/>
        <w:rPr>
          <w:rFonts w:hint="default"/>
          <w:sz w:val="28"/>
          <w:szCs w:val="28"/>
          <w:highlight w:val="none"/>
          <w:lang w:val="en-US" w:eastAsia="zh-CN"/>
        </w:rPr>
      </w:pPr>
      <w:r>
        <w:rPr>
          <w:rFonts w:hint="eastAsia"/>
          <w:sz w:val="28"/>
          <w:szCs w:val="28"/>
          <w:highlight w:val="none"/>
          <w:lang w:val="en-US" w:eastAsia="zh-CN"/>
        </w:rPr>
        <w:t>签约一方为多个当事人的，可按各自在合同关系中的作用等。在“委托方”、“受托方”项下（增页）分别排列为共同委托人或共同受托人。</w:t>
      </w:r>
    </w:p>
    <w:p w14:paraId="0E794360">
      <w:pPr>
        <w:numPr>
          <w:ilvl w:val="0"/>
          <w:numId w:val="6"/>
        </w:numPr>
        <w:bidi w:val="0"/>
        <w:rPr>
          <w:rFonts w:hint="default"/>
          <w:sz w:val="28"/>
          <w:szCs w:val="28"/>
          <w:highlight w:val="none"/>
          <w:lang w:val="en-US" w:eastAsia="zh-CN"/>
        </w:rPr>
      </w:pPr>
      <w:r>
        <w:rPr>
          <w:rFonts w:hint="eastAsia"/>
          <w:sz w:val="28"/>
          <w:szCs w:val="28"/>
          <w:highlight w:val="none"/>
          <w:lang w:val="en-US" w:eastAsia="zh-CN"/>
        </w:rPr>
        <w:t>本合同书未尽事项，可由当事人附页另行约定，并可作为本合同的组成部分。</w:t>
      </w:r>
    </w:p>
    <w:p w14:paraId="1069FC46">
      <w:pPr>
        <w:numPr>
          <w:ilvl w:val="0"/>
          <w:numId w:val="6"/>
        </w:numPr>
        <w:bidi w:val="0"/>
        <w:rPr>
          <w:rFonts w:hint="default"/>
          <w:sz w:val="28"/>
          <w:szCs w:val="28"/>
          <w:highlight w:val="none"/>
          <w:lang w:val="en-US" w:eastAsia="zh-CN"/>
        </w:rPr>
        <w:sectPr>
          <w:pgSz w:w="11906" w:h="16838"/>
          <w:pgMar w:top="1440" w:right="1800" w:bottom="1440" w:left="1800" w:header="851" w:footer="992" w:gutter="0"/>
          <w:cols w:space="425" w:num="1"/>
          <w:docGrid w:type="lines" w:linePitch="312" w:charSpace="0"/>
        </w:sectPr>
      </w:pPr>
      <w:r>
        <w:rPr>
          <w:rFonts w:hint="eastAsia"/>
          <w:sz w:val="28"/>
          <w:szCs w:val="28"/>
          <w:highlight w:val="none"/>
          <w:lang w:val="en-US" w:eastAsia="zh-CN"/>
        </w:rPr>
        <w:t>当事人使用本合同书时约定无需填写的条款，应在该条款处注明“无”等字</w:t>
      </w:r>
    </w:p>
    <w:p w14:paraId="17ED954A">
      <w:pPr>
        <w:pStyle w:val="2"/>
        <w:numPr>
          <w:ilvl w:val="0"/>
          <w:numId w:val="0"/>
        </w:numPr>
        <w:bidi w:val="0"/>
        <w:jc w:val="center"/>
        <w:rPr>
          <w:rFonts w:hint="eastAsia"/>
          <w:highlight w:val="none"/>
          <w:lang w:val="en-US" w:eastAsia="zh-CN"/>
        </w:rPr>
      </w:pPr>
      <w:r>
        <w:rPr>
          <w:rFonts w:hint="eastAsia"/>
          <w:highlight w:val="none"/>
          <w:lang w:val="en-US" w:eastAsia="zh-CN"/>
        </w:rPr>
        <w:t>技术开发（委托）合同</w:t>
      </w:r>
    </w:p>
    <w:p w14:paraId="3F1828FF">
      <w:pPr>
        <w:rPr>
          <w:rFonts w:hint="eastAsia"/>
          <w:highlight w:val="none"/>
          <w:lang w:val="en-US" w:eastAsia="zh-CN"/>
        </w:rPr>
      </w:pPr>
    </w:p>
    <w:p w14:paraId="150102A2">
      <w:pPr>
        <w:rPr>
          <w:rFonts w:hint="default"/>
          <w:sz w:val="28"/>
          <w:szCs w:val="28"/>
          <w:highlight w:val="none"/>
          <w:lang w:val="en-US"/>
        </w:rPr>
      </w:pPr>
      <w:r>
        <w:rPr>
          <w:sz w:val="28"/>
          <w:szCs w:val="28"/>
          <w:highlight w:val="none"/>
        </w:rPr>
        <w:t>甲方（委托方）：</w:t>
      </w:r>
      <w:r>
        <w:rPr>
          <w:rFonts w:hint="eastAsia"/>
          <w:sz w:val="28"/>
          <w:szCs w:val="28"/>
          <w:highlight w:val="none"/>
          <w:u w:val="single"/>
          <w:lang w:val="en-US" w:eastAsia="zh-CN"/>
        </w:rPr>
        <w:t xml:space="preserve">   河南产业互联网联合发展有限公司          </w:t>
      </w:r>
    </w:p>
    <w:p w14:paraId="7435D6B3">
      <w:pPr>
        <w:rPr>
          <w:rFonts w:hint="default" w:eastAsiaTheme="minorEastAsia"/>
          <w:sz w:val="28"/>
          <w:szCs w:val="28"/>
          <w:highlight w:val="none"/>
          <w:u w:val="single"/>
          <w:lang w:val="en-US" w:eastAsia="zh-CN"/>
        </w:rPr>
      </w:pPr>
      <w:r>
        <w:rPr>
          <w:sz w:val="28"/>
          <w:szCs w:val="28"/>
          <w:highlight w:val="none"/>
        </w:rPr>
        <w:t>住所（地址）：</w:t>
      </w:r>
      <w:r>
        <w:rPr>
          <w:rFonts w:hint="eastAsia"/>
          <w:sz w:val="28"/>
          <w:szCs w:val="28"/>
          <w:highlight w:val="none"/>
          <w:lang w:val="en-US" w:eastAsia="zh-CN"/>
        </w:rPr>
        <w:t xml:space="preserve">  </w:t>
      </w:r>
      <w:r>
        <w:rPr>
          <w:rFonts w:hint="eastAsia"/>
          <w:sz w:val="28"/>
          <w:szCs w:val="28"/>
          <w:highlight w:val="none"/>
          <w:u w:val="single"/>
          <w:lang w:val="en-US" w:eastAsia="zh-CN"/>
        </w:rPr>
        <w:t xml:space="preserve"> 河南省郑州市郑东新区郑开大道136号305室  </w:t>
      </w:r>
    </w:p>
    <w:p w14:paraId="6E9D57C4">
      <w:pPr>
        <w:rPr>
          <w:rFonts w:hint="default" w:eastAsiaTheme="minorEastAsia"/>
          <w:sz w:val="28"/>
          <w:szCs w:val="28"/>
          <w:highlight w:val="none"/>
          <w:lang w:val="en-US" w:eastAsia="zh-CN"/>
        </w:rPr>
      </w:pPr>
      <w:r>
        <w:rPr>
          <w:sz w:val="28"/>
          <w:szCs w:val="28"/>
          <w:highlight w:val="none"/>
        </w:rPr>
        <w:t>法定代表人：</w:t>
      </w:r>
      <w:r>
        <w:rPr>
          <w:rFonts w:hint="eastAsia"/>
          <w:sz w:val="28"/>
          <w:szCs w:val="28"/>
          <w:highlight w:val="none"/>
          <w:lang w:val="en-US" w:eastAsia="zh-CN"/>
        </w:rPr>
        <w:t xml:space="preserve">   </w:t>
      </w:r>
      <w:r>
        <w:rPr>
          <w:rFonts w:hint="eastAsia"/>
          <w:sz w:val="28"/>
          <w:szCs w:val="28"/>
          <w:highlight w:val="none"/>
          <w:u w:val="single"/>
          <w:lang w:val="en-US" w:eastAsia="zh-CN"/>
        </w:rPr>
        <w:t xml:space="preserve">                                             </w:t>
      </w:r>
    </w:p>
    <w:p w14:paraId="26B68F14">
      <w:pPr>
        <w:rPr>
          <w:rFonts w:hint="default" w:eastAsiaTheme="minorEastAsia"/>
          <w:sz w:val="28"/>
          <w:szCs w:val="28"/>
          <w:highlight w:val="none"/>
          <w:lang w:val="en-US" w:eastAsia="zh-CN"/>
        </w:rPr>
      </w:pPr>
      <w:r>
        <w:rPr>
          <w:rFonts w:hint="eastAsia"/>
          <w:sz w:val="28"/>
          <w:szCs w:val="28"/>
          <w:highlight w:val="none"/>
          <w:lang w:val="en-US" w:eastAsia="zh-CN"/>
        </w:rPr>
        <w:t>项目联系人</w:t>
      </w:r>
      <w:r>
        <w:rPr>
          <w:sz w:val="28"/>
          <w:szCs w:val="28"/>
          <w:highlight w:val="none"/>
        </w:rPr>
        <w:t>：</w:t>
      </w:r>
      <w:r>
        <w:rPr>
          <w:rFonts w:hint="eastAsia"/>
          <w:sz w:val="28"/>
          <w:szCs w:val="28"/>
          <w:highlight w:val="none"/>
          <w:lang w:val="en-US" w:eastAsia="zh-CN"/>
        </w:rPr>
        <w:t xml:space="preserve">   </w:t>
      </w:r>
      <w:r>
        <w:rPr>
          <w:rFonts w:hint="eastAsia"/>
          <w:sz w:val="28"/>
          <w:szCs w:val="28"/>
          <w:highlight w:val="none"/>
          <w:u w:val="single"/>
          <w:lang w:val="en-US" w:eastAsia="zh-CN"/>
        </w:rPr>
        <w:t xml:space="preserve">                                             </w:t>
      </w:r>
    </w:p>
    <w:p w14:paraId="42B7923E">
      <w:pPr>
        <w:rPr>
          <w:rFonts w:hint="default" w:eastAsiaTheme="minorEastAsia"/>
          <w:sz w:val="28"/>
          <w:szCs w:val="28"/>
          <w:highlight w:val="none"/>
          <w:u w:val="single"/>
          <w:lang w:val="en-US" w:eastAsia="zh-CN"/>
        </w:rPr>
      </w:pPr>
      <w:r>
        <w:rPr>
          <w:sz w:val="28"/>
          <w:szCs w:val="28"/>
          <w:highlight w:val="none"/>
        </w:rPr>
        <w:t>电话：</w:t>
      </w:r>
      <w:r>
        <w:rPr>
          <w:rFonts w:hint="eastAsia"/>
          <w:sz w:val="28"/>
          <w:szCs w:val="28"/>
          <w:highlight w:val="none"/>
          <w:lang w:val="en-US" w:eastAsia="zh-CN"/>
        </w:rPr>
        <w:t xml:space="preserve">         </w:t>
      </w:r>
      <w:r>
        <w:rPr>
          <w:rFonts w:hint="eastAsia"/>
          <w:sz w:val="28"/>
          <w:szCs w:val="28"/>
          <w:highlight w:val="none"/>
          <w:u w:val="single"/>
          <w:lang w:val="en-US" w:eastAsia="zh-CN"/>
        </w:rPr>
        <w:t xml:space="preserve">                                             </w:t>
      </w:r>
    </w:p>
    <w:p w14:paraId="5FA08B2E">
      <w:pPr>
        <w:rPr>
          <w:rFonts w:hint="default" w:eastAsiaTheme="minorEastAsia"/>
          <w:sz w:val="28"/>
          <w:szCs w:val="28"/>
          <w:highlight w:val="none"/>
          <w:lang w:val="en-US" w:eastAsia="zh-CN"/>
        </w:rPr>
      </w:pPr>
      <w:r>
        <w:rPr>
          <w:sz w:val="28"/>
          <w:szCs w:val="28"/>
          <w:highlight w:val="none"/>
        </w:rPr>
        <w:t>电子邮箱：</w:t>
      </w:r>
      <w:r>
        <w:rPr>
          <w:rFonts w:hint="eastAsia"/>
          <w:sz w:val="28"/>
          <w:szCs w:val="28"/>
          <w:highlight w:val="none"/>
          <w:lang w:val="en-US" w:eastAsia="zh-CN"/>
        </w:rPr>
        <w:t xml:space="preserve">     </w:t>
      </w:r>
      <w:r>
        <w:rPr>
          <w:rFonts w:hint="eastAsia"/>
          <w:sz w:val="28"/>
          <w:szCs w:val="28"/>
          <w:highlight w:val="none"/>
          <w:u w:val="single"/>
          <w:lang w:val="en-US" w:eastAsia="zh-CN"/>
        </w:rPr>
        <w:t xml:space="preserve">                                            </w:t>
      </w:r>
    </w:p>
    <w:p w14:paraId="735AC905">
      <w:pPr>
        <w:rPr>
          <w:rFonts w:hint="default" w:eastAsiaTheme="minorEastAsia"/>
          <w:sz w:val="28"/>
          <w:szCs w:val="28"/>
          <w:highlight w:val="none"/>
          <w:lang w:val="en-US" w:eastAsia="zh-CN"/>
        </w:rPr>
      </w:pPr>
      <w:r>
        <w:rPr>
          <w:sz w:val="28"/>
          <w:szCs w:val="28"/>
          <w:highlight w:val="none"/>
        </w:rPr>
        <w:t>乙方（开发方）：</w:t>
      </w:r>
      <w:r>
        <w:rPr>
          <w:rFonts w:hint="eastAsia"/>
          <w:sz w:val="28"/>
          <w:szCs w:val="28"/>
          <w:highlight w:val="none"/>
          <w:u w:val="single"/>
          <w:lang w:val="en-US" w:eastAsia="zh-CN"/>
        </w:rPr>
        <w:t xml:space="preserve">                                            </w:t>
      </w:r>
    </w:p>
    <w:p w14:paraId="77C7409A">
      <w:pPr>
        <w:rPr>
          <w:rFonts w:hint="default" w:eastAsiaTheme="minorEastAsia"/>
          <w:sz w:val="28"/>
          <w:szCs w:val="28"/>
          <w:highlight w:val="none"/>
          <w:lang w:val="en-US" w:eastAsia="zh-CN"/>
        </w:rPr>
      </w:pPr>
      <w:r>
        <w:rPr>
          <w:sz w:val="28"/>
          <w:szCs w:val="28"/>
          <w:highlight w:val="none"/>
        </w:rPr>
        <w:t>住所（地址）：</w:t>
      </w:r>
      <w:r>
        <w:rPr>
          <w:rFonts w:hint="eastAsia"/>
          <w:sz w:val="28"/>
          <w:szCs w:val="28"/>
          <w:highlight w:val="none"/>
          <w:lang w:val="en-US" w:eastAsia="zh-CN"/>
        </w:rPr>
        <w:t xml:space="preserve">  </w:t>
      </w:r>
      <w:r>
        <w:rPr>
          <w:rFonts w:hint="eastAsia"/>
          <w:sz w:val="28"/>
          <w:szCs w:val="28"/>
          <w:highlight w:val="none"/>
          <w:u w:val="single"/>
          <w:lang w:val="en-US" w:eastAsia="zh-CN"/>
        </w:rPr>
        <w:t xml:space="preserve">                                            </w:t>
      </w:r>
      <w:r>
        <w:rPr>
          <w:rFonts w:hint="eastAsia"/>
          <w:sz w:val="28"/>
          <w:szCs w:val="28"/>
          <w:highlight w:val="none"/>
          <w:lang w:val="en-US" w:eastAsia="zh-CN"/>
        </w:rPr>
        <w:t xml:space="preserve"> </w:t>
      </w:r>
    </w:p>
    <w:p w14:paraId="3A30F709">
      <w:pPr>
        <w:rPr>
          <w:rFonts w:hint="eastAsia" w:eastAsiaTheme="minorEastAsia"/>
          <w:sz w:val="28"/>
          <w:szCs w:val="28"/>
          <w:highlight w:val="none"/>
          <w:lang w:eastAsia="zh-CN"/>
        </w:rPr>
      </w:pPr>
      <w:r>
        <w:rPr>
          <w:sz w:val="28"/>
          <w:szCs w:val="28"/>
          <w:highlight w:val="none"/>
        </w:rPr>
        <w:t>法定代表人：</w:t>
      </w:r>
      <w:r>
        <w:rPr>
          <w:rFonts w:hint="eastAsia"/>
          <w:sz w:val="28"/>
          <w:szCs w:val="28"/>
          <w:highlight w:val="none"/>
          <w:lang w:val="en-US" w:eastAsia="zh-CN"/>
        </w:rPr>
        <w:t xml:space="preserve">   </w:t>
      </w:r>
      <w:r>
        <w:rPr>
          <w:rFonts w:hint="eastAsia"/>
          <w:sz w:val="28"/>
          <w:szCs w:val="28"/>
          <w:highlight w:val="none"/>
          <w:u w:val="single"/>
          <w:lang w:val="en-US" w:eastAsia="zh-CN"/>
        </w:rPr>
        <w:t xml:space="preserve">                                            </w:t>
      </w:r>
    </w:p>
    <w:p w14:paraId="5A4A76EB">
      <w:pPr>
        <w:rPr>
          <w:rFonts w:hint="eastAsia" w:eastAsiaTheme="minorEastAsia"/>
          <w:sz w:val="28"/>
          <w:szCs w:val="28"/>
          <w:highlight w:val="none"/>
          <w:lang w:eastAsia="zh-CN"/>
        </w:rPr>
      </w:pPr>
      <w:r>
        <w:rPr>
          <w:rFonts w:hint="eastAsia"/>
          <w:sz w:val="28"/>
          <w:szCs w:val="28"/>
          <w:highlight w:val="none"/>
          <w:lang w:val="en-US" w:eastAsia="zh-CN"/>
        </w:rPr>
        <w:t>项目联系人</w:t>
      </w:r>
      <w:r>
        <w:rPr>
          <w:sz w:val="28"/>
          <w:szCs w:val="28"/>
          <w:highlight w:val="none"/>
        </w:rPr>
        <w:t>：</w:t>
      </w:r>
      <w:r>
        <w:rPr>
          <w:rFonts w:hint="eastAsia"/>
          <w:sz w:val="28"/>
          <w:szCs w:val="28"/>
          <w:highlight w:val="none"/>
          <w:lang w:val="en-US" w:eastAsia="zh-CN"/>
        </w:rPr>
        <w:t xml:space="preserve">   </w:t>
      </w:r>
      <w:r>
        <w:rPr>
          <w:rFonts w:hint="eastAsia"/>
          <w:sz w:val="28"/>
          <w:szCs w:val="28"/>
          <w:highlight w:val="none"/>
          <w:u w:val="single"/>
          <w:lang w:val="en-US" w:eastAsia="zh-CN"/>
        </w:rPr>
        <w:t xml:space="preserve">                                            </w:t>
      </w:r>
    </w:p>
    <w:p w14:paraId="1563AAD4">
      <w:pPr>
        <w:rPr>
          <w:rFonts w:hint="default" w:eastAsiaTheme="minorEastAsia"/>
          <w:sz w:val="28"/>
          <w:szCs w:val="28"/>
          <w:highlight w:val="none"/>
          <w:lang w:val="en-US" w:eastAsia="zh-CN"/>
        </w:rPr>
      </w:pPr>
      <w:r>
        <w:rPr>
          <w:rFonts w:hint="eastAsia"/>
          <w:sz w:val="28"/>
          <w:szCs w:val="28"/>
          <w:highlight w:val="none"/>
          <w:lang w:val="en-US" w:eastAsia="zh-CN"/>
        </w:rPr>
        <w:t>联系方式</w:t>
      </w:r>
      <w:r>
        <w:rPr>
          <w:sz w:val="28"/>
          <w:szCs w:val="28"/>
          <w:highlight w:val="none"/>
        </w:rPr>
        <w:t>：</w:t>
      </w:r>
      <w:r>
        <w:rPr>
          <w:rFonts w:hint="eastAsia"/>
          <w:sz w:val="28"/>
          <w:szCs w:val="28"/>
          <w:highlight w:val="none"/>
          <w:lang w:val="en-US" w:eastAsia="zh-CN"/>
        </w:rPr>
        <w:t xml:space="preserve">     </w:t>
      </w:r>
      <w:r>
        <w:rPr>
          <w:rFonts w:hint="eastAsia"/>
          <w:sz w:val="28"/>
          <w:szCs w:val="28"/>
          <w:highlight w:val="none"/>
          <w:u w:val="single"/>
          <w:lang w:val="en-US" w:eastAsia="zh-CN"/>
        </w:rPr>
        <w:t xml:space="preserve">                                            </w:t>
      </w:r>
    </w:p>
    <w:p w14:paraId="772E274C">
      <w:pPr>
        <w:rPr>
          <w:rFonts w:hint="default" w:eastAsiaTheme="minorEastAsia"/>
          <w:sz w:val="28"/>
          <w:szCs w:val="28"/>
          <w:highlight w:val="none"/>
          <w:lang w:val="en-US" w:eastAsia="zh-CN"/>
        </w:rPr>
      </w:pPr>
      <w:r>
        <w:rPr>
          <w:sz w:val="28"/>
          <w:szCs w:val="28"/>
          <w:highlight w:val="none"/>
        </w:rPr>
        <w:t>电子邮箱：</w:t>
      </w:r>
      <w:r>
        <w:rPr>
          <w:rFonts w:hint="eastAsia"/>
          <w:sz w:val="28"/>
          <w:szCs w:val="28"/>
          <w:highlight w:val="none"/>
          <w:lang w:val="en-US" w:eastAsia="zh-CN"/>
        </w:rPr>
        <w:t xml:space="preserve">     </w:t>
      </w:r>
      <w:r>
        <w:rPr>
          <w:rFonts w:hint="eastAsia"/>
          <w:sz w:val="28"/>
          <w:szCs w:val="28"/>
          <w:highlight w:val="none"/>
          <w:u w:val="single"/>
          <w:lang w:val="en-US" w:eastAsia="zh-CN"/>
        </w:rPr>
        <w:t xml:space="preserve">                                            </w:t>
      </w:r>
    </w:p>
    <w:p w14:paraId="08EA1C33">
      <w:pPr>
        <w:rPr>
          <w:rFonts w:hint="default"/>
          <w:highlight w:val="none"/>
          <w:lang w:val="en-US" w:eastAsia="zh-CN"/>
        </w:rPr>
        <w:sectPr>
          <w:pgSz w:w="11906" w:h="16838"/>
          <w:pgMar w:top="1440" w:right="1800" w:bottom="1440" w:left="1800" w:header="851" w:footer="992" w:gutter="0"/>
          <w:cols w:space="425" w:num="1"/>
          <w:docGrid w:type="lines" w:linePitch="312" w:charSpace="0"/>
        </w:sectPr>
      </w:pPr>
      <w:r>
        <w:rPr>
          <w:rFonts w:hint="eastAsia"/>
          <w:highlight w:val="none"/>
          <w:lang w:val="en-US" w:eastAsia="zh-CN"/>
        </w:rPr>
        <w:t xml:space="preserve">  </w:t>
      </w:r>
    </w:p>
    <w:p w14:paraId="0C02E24B">
      <w:pPr>
        <w:numPr>
          <w:ilvl w:val="0"/>
          <w:numId w:val="0"/>
        </w:numPr>
        <w:bidi w:val="0"/>
        <w:ind w:firstLine="420" w:firstLineChars="0"/>
        <w:rPr>
          <w:rFonts w:hint="eastAsia"/>
          <w:sz w:val="28"/>
          <w:szCs w:val="28"/>
          <w:highlight w:val="none"/>
          <w:u w:val="none"/>
          <w:lang w:val="en-US" w:eastAsia="zh-CN"/>
        </w:rPr>
      </w:pPr>
      <w:r>
        <w:rPr>
          <w:rFonts w:hint="eastAsia"/>
          <w:sz w:val="28"/>
          <w:szCs w:val="28"/>
          <w:highlight w:val="none"/>
          <w:u w:val="none"/>
          <w:lang w:val="en-US" w:eastAsia="zh-CN"/>
        </w:rPr>
        <w:t>依据《中华人民共和国法典》及有关法律、法规的规定，甲乙双方在平等、自愿、公平、协商一致的基础上，就项目的有关事宜达成如下协议</w:t>
      </w:r>
    </w:p>
    <w:p w14:paraId="5E13C169">
      <w:pPr>
        <w:pStyle w:val="3"/>
        <w:numPr>
          <w:ilvl w:val="0"/>
          <w:numId w:val="7"/>
        </w:numPr>
        <w:bidi w:val="0"/>
        <w:rPr>
          <w:rFonts w:hint="eastAsia" w:asciiTheme="minorHAnsi" w:hAnsiTheme="minorHAnsi" w:eastAsiaTheme="minorEastAsia" w:cstheme="minorBidi"/>
          <w:b w:val="0"/>
          <w:kern w:val="2"/>
          <w:sz w:val="28"/>
          <w:szCs w:val="28"/>
          <w:highlight w:val="none"/>
          <w:u w:val="none"/>
          <w:lang w:val="en-US" w:eastAsia="zh-CN" w:bidi="ar-SA"/>
        </w:rPr>
      </w:pPr>
      <w:r>
        <w:rPr>
          <w:rFonts w:hint="eastAsia"/>
          <w:highlight w:val="none"/>
          <w:lang w:val="en-US" w:eastAsia="zh-CN"/>
        </w:rPr>
        <w:t xml:space="preserve"> </w:t>
      </w:r>
      <w:r>
        <w:rPr>
          <w:rFonts w:hint="eastAsia" w:asciiTheme="minorHAnsi" w:hAnsiTheme="minorHAnsi" w:eastAsiaTheme="minorEastAsia" w:cstheme="minorBidi"/>
          <w:b w:val="0"/>
          <w:kern w:val="2"/>
          <w:sz w:val="28"/>
          <w:szCs w:val="28"/>
          <w:highlight w:val="none"/>
          <w:u w:val="none"/>
          <w:lang w:val="en-US" w:eastAsia="zh-CN" w:bidi="ar-SA"/>
        </w:rPr>
        <w:t xml:space="preserve"> 本合同研究开发项目的要求如下：</w:t>
      </w:r>
    </w:p>
    <w:p w14:paraId="0B1AD89A">
      <w:pPr>
        <w:numPr>
          <w:ilvl w:val="0"/>
          <w:numId w:val="8"/>
        </w:numPr>
        <w:bidi w:val="0"/>
        <w:ind w:firstLine="420" w:firstLineChars="0"/>
        <w:rPr>
          <w:rFonts w:hint="default"/>
          <w:sz w:val="28"/>
          <w:szCs w:val="28"/>
          <w:highlight w:val="none"/>
          <w:u w:val="none"/>
          <w:lang w:val="en-US" w:eastAsia="zh-CN"/>
        </w:rPr>
      </w:pPr>
      <w:r>
        <w:rPr>
          <w:rFonts w:hint="eastAsia"/>
          <w:sz w:val="28"/>
          <w:szCs w:val="28"/>
          <w:highlight w:val="none"/>
          <w:u w:val="none"/>
          <w:lang w:val="en-US" w:eastAsia="zh-CN"/>
        </w:rPr>
        <w:t>技术目标：</w:t>
      </w:r>
      <w:r>
        <w:rPr>
          <w:rFonts w:hint="eastAsia"/>
          <w:sz w:val="28"/>
          <w:szCs w:val="28"/>
          <w:highlight w:val="none"/>
          <w:u w:val="single"/>
          <w:lang w:val="en-US" w:eastAsia="zh-CN"/>
        </w:rPr>
        <w:t>制造业数据智能运营平台的开发与部署。</w:t>
      </w:r>
    </w:p>
    <w:p w14:paraId="025633F9">
      <w:pPr>
        <w:numPr>
          <w:ilvl w:val="0"/>
          <w:numId w:val="8"/>
        </w:numPr>
        <w:bidi w:val="0"/>
        <w:ind w:firstLine="420" w:firstLineChars="0"/>
        <w:rPr>
          <w:rFonts w:hint="default"/>
          <w:sz w:val="28"/>
          <w:szCs w:val="28"/>
          <w:highlight w:val="none"/>
          <w:u w:val="none"/>
          <w:lang w:val="en-US" w:eastAsia="zh-CN"/>
        </w:rPr>
      </w:pPr>
      <w:r>
        <w:rPr>
          <w:rFonts w:hint="eastAsia"/>
          <w:sz w:val="28"/>
          <w:szCs w:val="28"/>
          <w:highlight w:val="none"/>
          <w:u w:val="none"/>
          <w:lang w:val="en-US" w:eastAsia="zh-CN"/>
        </w:rPr>
        <w:t>技术内容：</w:t>
      </w:r>
      <w:r>
        <w:rPr>
          <w:rFonts w:hint="eastAsia"/>
          <w:sz w:val="28"/>
          <w:szCs w:val="28"/>
          <w:highlight w:val="none"/>
          <w:u w:val="single"/>
          <w:lang w:val="en-US" w:eastAsia="zh-CN"/>
        </w:rPr>
        <w:t>制造业数据智能运营平台内容包括：业务流程和基础数据建模、产销协同平台、制造协同平台、供应协同平台、采购执行协作、物料仓储、生产执行、成品仓储、全流程执行异常监控、运营绩效指标测量、数据治理与数据中台、BI与数据可视化、定制开发与系统连接、移动端等功能模块。</w:t>
      </w:r>
    </w:p>
    <w:p w14:paraId="1AD76B2B">
      <w:pPr>
        <w:numPr>
          <w:ilvl w:val="0"/>
          <w:numId w:val="8"/>
        </w:numPr>
        <w:bidi w:val="0"/>
        <w:ind w:firstLine="420" w:firstLineChars="0"/>
        <w:rPr>
          <w:rFonts w:hint="default"/>
          <w:sz w:val="28"/>
          <w:szCs w:val="28"/>
          <w:highlight w:val="none"/>
          <w:u w:val="none"/>
          <w:lang w:val="en-US" w:eastAsia="zh-CN"/>
        </w:rPr>
      </w:pPr>
      <w:r>
        <w:rPr>
          <w:rFonts w:hint="eastAsia"/>
          <w:sz w:val="28"/>
          <w:szCs w:val="28"/>
          <w:highlight w:val="none"/>
          <w:u w:val="none"/>
          <w:lang w:val="en-US" w:eastAsia="zh-CN"/>
        </w:rPr>
        <w:t>技术方法和路线：（1）需求调研分析，确定架构设计。（2）明确本项目所需开发的业务及技术实现逻辑。（3）根据需求分析，开发系统主体框架，并完成各功能模块的设计开发。（4）各功能模块联调、测试，确保系统稳定、可靠，且整体设计达到预期效果。（5）软件实施与项目验收。</w:t>
      </w:r>
    </w:p>
    <w:p w14:paraId="5D8673CF">
      <w:pPr>
        <w:numPr>
          <w:ilvl w:val="0"/>
          <w:numId w:val="7"/>
        </w:numPr>
        <w:bidi w:val="0"/>
        <w:ind w:left="0" w:leftChars="0" w:firstLine="0" w:firstLineChars="0"/>
        <w:rPr>
          <w:rFonts w:hint="eastAsia"/>
          <w:sz w:val="28"/>
          <w:szCs w:val="28"/>
          <w:highlight w:val="none"/>
          <w:u w:val="none"/>
          <w:lang w:val="en-US" w:eastAsia="zh-CN"/>
        </w:rPr>
      </w:pPr>
      <w:r>
        <w:rPr>
          <w:rFonts w:hint="eastAsia"/>
          <w:sz w:val="28"/>
          <w:szCs w:val="28"/>
          <w:highlight w:val="none"/>
          <w:u w:val="none"/>
          <w:lang w:val="en-US" w:eastAsia="zh-CN"/>
        </w:rPr>
        <w:t>乙方应在本合同生效后</w:t>
      </w:r>
      <w:r>
        <w:rPr>
          <w:rFonts w:hint="eastAsia"/>
          <w:sz w:val="28"/>
          <w:szCs w:val="28"/>
          <w:highlight w:val="none"/>
          <w:u w:val="single"/>
          <w:lang w:val="en-US" w:eastAsia="zh-CN"/>
        </w:rPr>
        <w:t xml:space="preserve">  七  </w:t>
      </w:r>
      <w:r>
        <w:rPr>
          <w:rFonts w:hint="eastAsia"/>
          <w:sz w:val="28"/>
          <w:szCs w:val="28"/>
          <w:highlight w:val="none"/>
          <w:u w:val="none"/>
          <w:lang w:val="en-US" w:eastAsia="zh-CN"/>
        </w:rPr>
        <w:t>日内向甲方提交研究开发计划。研究开发计划应包括以下主要内容：</w:t>
      </w:r>
    </w:p>
    <w:p w14:paraId="799CD42D">
      <w:pPr>
        <w:widowControl w:val="0"/>
        <w:numPr>
          <w:ilvl w:val="0"/>
          <w:numId w:val="9"/>
        </w:numPr>
        <w:bidi w:val="0"/>
        <w:jc w:val="both"/>
        <w:rPr>
          <w:rFonts w:hint="default"/>
          <w:sz w:val="28"/>
          <w:szCs w:val="28"/>
          <w:highlight w:val="none"/>
          <w:u w:val="none"/>
          <w:lang w:val="en-US" w:eastAsia="zh-CN"/>
        </w:rPr>
      </w:pPr>
      <w:r>
        <w:rPr>
          <w:rFonts w:hint="eastAsia"/>
          <w:sz w:val="28"/>
          <w:szCs w:val="28"/>
          <w:highlight w:val="none"/>
          <w:u w:val="none"/>
          <w:lang w:val="en-US" w:eastAsia="zh-CN"/>
        </w:rPr>
        <w:t>项目工作计划，部署进度、预算、关键技术问题等；</w:t>
      </w:r>
    </w:p>
    <w:p w14:paraId="77CFA2DC">
      <w:pPr>
        <w:widowControl w:val="0"/>
        <w:numPr>
          <w:ilvl w:val="0"/>
          <w:numId w:val="9"/>
        </w:numPr>
        <w:bidi w:val="0"/>
        <w:jc w:val="both"/>
        <w:rPr>
          <w:rFonts w:hint="default"/>
          <w:sz w:val="28"/>
          <w:szCs w:val="28"/>
          <w:highlight w:val="none"/>
          <w:u w:val="none"/>
          <w:lang w:val="en-US" w:eastAsia="zh-CN"/>
        </w:rPr>
      </w:pPr>
      <w:r>
        <w:rPr>
          <w:rFonts w:hint="eastAsia"/>
          <w:sz w:val="28"/>
          <w:szCs w:val="28"/>
          <w:highlight w:val="none"/>
          <w:u w:val="none"/>
          <w:lang w:val="en-US" w:eastAsia="zh-CN"/>
        </w:rPr>
        <w:t>系统软件代码与操作说明书的撰写；</w:t>
      </w:r>
    </w:p>
    <w:p w14:paraId="18F16ED2">
      <w:pPr>
        <w:widowControl w:val="0"/>
        <w:numPr>
          <w:ilvl w:val="0"/>
          <w:numId w:val="9"/>
        </w:numPr>
        <w:bidi w:val="0"/>
        <w:jc w:val="both"/>
        <w:rPr>
          <w:rFonts w:hint="default"/>
          <w:sz w:val="28"/>
          <w:szCs w:val="28"/>
          <w:highlight w:val="none"/>
          <w:u w:val="none"/>
          <w:lang w:val="en-US" w:eastAsia="zh-CN"/>
        </w:rPr>
      </w:pPr>
      <w:r>
        <w:rPr>
          <w:rFonts w:hint="eastAsia"/>
          <w:sz w:val="28"/>
          <w:szCs w:val="28"/>
          <w:highlight w:val="none"/>
          <w:u w:val="none"/>
          <w:lang w:val="en-US" w:eastAsia="zh-CN"/>
        </w:rPr>
        <w:t>人员人工与工作协调；</w:t>
      </w:r>
    </w:p>
    <w:p w14:paraId="42BD9BB2">
      <w:pPr>
        <w:widowControl w:val="0"/>
        <w:numPr>
          <w:ilvl w:val="0"/>
          <w:numId w:val="9"/>
        </w:numPr>
        <w:bidi w:val="0"/>
        <w:jc w:val="both"/>
        <w:rPr>
          <w:rFonts w:hint="default"/>
          <w:sz w:val="28"/>
          <w:szCs w:val="28"/>
          <w:highlight w:val="none"/>
          <w:u w:val="none"/>
          <w:lang w:val="en-US" w:eastAsia="zh-CN"/>
        </w:rPr>
      </w:pPr>
      <w:r>
        <w:rPr>
          <w:rFonts w:hint="eastAsia"/>
          <w:sz w:val="28"/>
          <w:szCs w:val="28"/>
          <w:highlight w:val="none"/>
          <w:u w:val="none"/>
          <w:lang w:val="en-US" w:eastAsia="zh-CN"/>
        </w:rPr>
        <w:t>系统软件测试、参数配置等技术问题解决。</w:t>
      </w:r>
    </w:p>
    <w:p w14:paraId="564F29CB">
      <w:pPr>
        <w:numPr>
          <w:ilvl w:val="0"/>
          <w:numId w:val="7"/>
        </w:numPr>
        <w:bidi w:val="0"/>
        <w:ind w:left="0" w:leftChars="0" w:firstLine="0" w:firstLineChars="0"/>
        <w:rPr>
          <w:rFonts w:hint="default"/>
          <w:sz w:val="28"/>
          <w:szCs w:val="28"/>
          <w:highlight w:val="none"/>
          <w:u w:val="none"/>
          <w:lang w:val="en-US" w:eastAsia="zh-CN"/>
        </w:rPr>
      </w:pPr>
      <w:r>
        <w:rPr>
          <w:rFonts w:hint="eastAsia"/>
          <w:sz w:val="28"/>
          <w:szCs w:val="28"/>
          <w:highlight w:val="none"/>
          <w:u w:val="none"/>
          <w:lang w:val="en-US" w:eastAsia="zh-CN"/>
        </w:rPr>
        <w:t>乙方应按下列进度完成研究开发工作：</w:t>
      </w:r>
    </w:p>
    <w:p w14:paraId="5B8A1954">
      <w:pPr>
        <w:numPr>
          <w:ilvl w:val="0"/>
          <w:numId w:val="10"/>
        </w:numPr>
        <w:bidi w:val="0"/>
        <w:ind w:leftChars="0"/>
        <w:rPr>
          <w:rFonts w:hint="default"/>
          <w:sz w:val="28"/>
          <w:szCs w:val="28"/>
          <w:highlight w:val="none"/>
          <w:u w:val="none"/>
          <w:lang w:val="en-US" w:eastAsia="zh-CN"/>
        </w:rPr>
      </w:pPr>
      <w:r>
        <w:rPr>
          <w:rFonts w:hint="eastAsia"/>
          <w:sz w:val="28"/>
          <w:szCs w:val="28"/>
          <w:highlight w:val="none"/>
          <w:u w:val="none"/>
          <w:lang w:val="en-US" w:eastAsia="zh-CN"/>
        </w:rPr>
        <w:t>本合同签订一周内，甲乙双方共同参与完成项目的前期调研和资料采集工作；</w:t>
      </w:r>
    </w:p>
    <w:p w14:paraId="6A952678">
      <w:pPr>
        <w:numPr>
          <w:ilvl w:val="0"/>
          <w:numId w:val="10"/>
        </w:numPr>
        <w:bidi w:val="0"/>
        <w:ind w:leftChars="0"/>
        <w:rPr>
          <w:rFonts w:hint="default"/>
          <w:sz w:val="28"/>
          <w:szCs w:val="28"/>
          <w:highlight w:val="none"/>
          <w:u w:val="none"/>
          <w:lang w:val="en-US" w:eastAsia="zh-CN"/>
        </w:rPr>
      </w:pPr>
      <w:r>
        <w:rPr>
          <w:rFonts w:hint="eastAsia"/>
          <w:sz w:val="28"/>
          <w:szCs w:val="28"/>
          <w:highlight w:val="none"/>
          <w:u w:val="none"/>
          <w:lang w:val="en-US" w:eastAsia="zh-CN"/>
        </w:rPr>
        <w:t>2026年12月30日前完成系统全部功能模块的开发、测试及实施工作；</w:t>
      </w:r>
    </w:p>
    <w:p w14:paraId="561686E0">
      <w:pPr>
        <w:numPr>
          <w:ilvl w:val="0"/>
          <w:numId w:val="7"/>
        </w:numPr>
        <w:bidi w:val="0"/>
        <w:ind w:left="0" w:leftChars="0" w:firstLine="0" w:firstLineChars="0"/>
        <w:rPr>
          <w:rFonts w:hint="default"/>
          <w:sz w:val="28"/>
          <w:szCs w:val="28"/>
          <w:highlight w:val="none"/>
          <w:u w:val="none"/>
          <w:lang w:val="en-US" w:eastAsia="zh-CN"/>
        </w:rPr>
      </w:pPr>
      <w:r>
        <w:rPr>
          <w:rFonts w:hint="eastAsia"/>
          <w:sz w:val="28"/>
          <w:szCs w:val="28"/>
          <w:highlight w:val="none"/>
          <w:u w:val="none"/>
          <w:lang w:val="en-US" w:eastAsia="zh-CN"/>
        </w:rPr>
        <w:t xml:space="preserve"> 甲方应向乙方提供的技术资料及协作事项如下：</w:t>
      </w:r>
    </w:p>
    <w:p w14:paraId="7C8BFD1B">
      <w:pPr>
        <w:numPr>
          <w:ilvl w:val="0"/>
          <w:numId w:val="11"/>
        </w:numPr>
        <w:bidi w:val="0"/>
        <w:ind w:leftChars="0"/>
        <w:rPr>
          <w:rFonts w:hint="default"/>
          <w:sz w:val="28"/>
          <w:szCs w:val="28"/>
          <w:highlight w:val="none"/>
          <w:u w:val="none"/>
          <w:lang w:val="en-US" w:eastAsia="zh-CN"/>
        </w:rPr>
      </w:pPr>
      <w:r>
        <w:rPr>
          <w:rFonts w:hint="eastAsia"/>
          <w:sz w:val="28"/>
          <w:szCs w:val="28"/>
          <w:highlight w:val="none"/>
          <w:u w:val="none"/>
          <w:lang w:val="en-US" w:eastAsia="zh-CN"/>
        </w:rPr>
        <w:t>技术资料清单：公司基本信息和联系人信息</w:t>
      </w:r>
    </w:p>
    <w:p w14:paraId="3DD7C2E5">
      <w:pPr>
        <w:numPr>
          <w:ilvl w:val="0"/>
          <w:numId w:val="11"/>
        </w:numPr>
        <w:bidi w:val="0"/>
        <w:ind w:leftChars="0"/>
        <w:rPr>
          <w:rFonts w:hint="default"/>
          <w:sz w:val="28"/>
          <w:szCs w:val="28"/>
          <w:highlight w:val="none"/>
          <w:u w:val="none"/>
          <w:lang w:val="en-US" w:eastAsia="zh-CN"/>
        </w:rPr>
      </w:pPr>
      <w:r>
        <w:rPr>
          <w:rFonts w:hint="eastAsia"/>
          <w:sz w:val="28"/>
          <w:szCs w:val="28"/>
          <w:highlight w:val="none"/>
          <w:u w:val="none"/>
          <w:lang w:val="en-US" w:eastAsia="zh-CN"/>
        </w:rPr>
        <w:t>提供时间和方式：合同签订</w:t>
      </w:r>
      <w:r>
        <w:rPr>
          <w:rFonts w:hint="eastAsia"/>
          <w:sz w:val="28"/>
          <w:szCs w:val="28"/>
          <w:highlight w:val="none"/>
          <w:u w:val="single"/>
          <w:lang w:val="en-US" w:eastAsia="zh-CN"/>
        </w:rPr>
        <w:t xml:space="preserve"> 五 </w:t>
      </w:r>
      <w:r>
        <w:rPr>
          <w:rFonts w:hint="eastAsia"/>
          <w:sz w:val="28"/>
          <w:szCs w:val="28"/>
          <w:highlight w:val="none"/>
          <w:u w:val="none"/>
          <w:lang w:val="en-US" w:eastAsia="zh-CN"/>
        </w:rPr>
        <w:t>日内</w:t>
      </w:r>
    </w:p>
    <w:p w14:paraId="7F0A05E3">
      <w:pPr>
        <w:numPr>
          <w:ilvl w:val="0"/>
          <w:numId w:val="11"/>
        </w:numPr>
        <w:bidi w:val="0"/>
        <w:ind w:leftChars="0"/>
        <w:rPr>
          <w:rFonts w:hint="default"/>
          <w:sz w:val="28"/>
          <w:szCs w:val="28"/>
          <w:highlight w:val="none"/>
          <w:u w:val="none"/>
          <w:lang w:val="en-US" w:eastAsia="zh-CN"/>
        </w:rPr>
      </w:pPr>
      <w:r>
        <w:rPr>
          <w:rFonts w:hint="eastAsia"/>
          <w:sz w:val="28"/>
          <w:szCs w:val="28"/>
          <w:highlight w:val="none"/>
          <w:u w:val="none"/>
          <w:lang w:val="en-US" w:eastAsia="zh-CN"/>
        </w:rPr>
        <w:t>其他协作事项：无。</w:t>
      </w:r>
    </w:p>
    <w:p w14:paraId="24515DF3">
      <w:pPr>
        <w:numPr>
          <w:ilvl w:val="0"/>
          <w:numId w:val="0"/>
        </w:numPr>
        <w:bidi w:val="0"/>
        <w:rPr>
          <w:rFonts w:hint="eastAsia"/>
          <w:sz w:val="28"/>
          <w:szCs w:val="28"/>
          <w:highlight w:val="none"/>
          <w:u w:val="none"/>
          <w:lang w:val="en-US" w:eastAsia="zh-CN"/>
        </w:rPr>
      </w:pPr>
      <w:r>
        <w:rPr>
          <w:rFonts w:hint="eastAsia"/>
          <w:sz w:val="28"/>
          <w:szCs w:val="28"/>
          <w:highlight w:val="none"/>
          <w:u w:val="none"/>
          <w:lang w:val="en-US" w:eastAsia="zh-CN"/>
        </w:rPr>
        <w:t>本合同履行完毕后，上述技术资料按以下方式处理：无。</w:t>
      </w:r>
    </w:p>
    <w:p w14:paraId="5D16144D">
      <w:pPr>
        <w:numPr>
          <w:ilvl w:val="0"/>
          <w:numId w:val="7"/>
        </w:numPr>
        <w:bidi w:val="0"/>
        <w:ind w:left="0" w:leftChars="0" w:firstLine="0" w:firstLineChars="0"/>
        <w:rPr>
          <w:rFonts w:hint="eastAsia"/>
          <w:sz w:val="28"/>
          <w:szCs w:val="28"/>
          <w:highlight w:val="none"/>
          <w:u w:val="none"/>
          <w:lang w:val="en-US" w:eastAsia="zh-CN"/>
        </w:rPr>
      </w:pPr>
      <w:r>
        <w:rPr>
          <w:rFonts w:hint="eastAsia"/>
          <w:sz w:val="28"/>
          <w:szCs w:val="28"/>
          <w:highlight w:val="none"/>
          <w:u w:val="none"/>
          <w:lang w:val="en-US" w:eastAsia="zh-CN"/>
        </w:rPr>
        <w:t xml:space="preserve"> 甲方应按以下方式支付研究开发经费和报酬：</w:t>
      </w:r>
    </w:p>
    <w:p w14:paraId="272E310F">
      <w:pPr>
        <w:numPr>
          <w:ilvl w:val="0"/>
          <w:numId w:val="12"/>
        </w:numPr>
        <w:bidi w:val="0"/>
        <w:ind w:leftChars="0"/>
        <w:rPr>
          <w:rFonts w:hint="default"/>
          <w:sz w:val="28"/>
          <w:szCs w:val="28"/>
          <w:highlight w:val="none"/>
          <w:u w:val="none"/>
          <w:lang w:val="en-US" w:eastAsia="zh-CN"/>
        </w:rPr>
      </w:pPr>
      <w:r>
        <w:rPr>
          <w:rFonts w:hint="eastAsia"/>
          <w:sz w:val="28"/>
          <w:szCs w:val="28"/>
          <w:highlight w:val="none"/>
          <w:u w:val="none"/>
          <w:lang w:val="en-US" w:eastAsia="zh-CN"/>
        </w:rPr>
        <w:t>研究开发经费含税总额：</w:t>
      </w:r>
      <w:r>
        <w:rPr>
          <w:rFonts w:hint="eastAsia"/>
          <w:sz w:val="28"/>
          <w:szCs w:val="28"/>
          <w:highlight w:val="none"/>
          <w:u w:val="single"/>
          <w:lang w:val="en-US" w:eastAsia="zh-CN"/>
        </w:rPr>
        <w:t xml:space="preserve">       </w:t>
      </w:r>
      <w:r>
        <w:rPr>
          <w:rFonts w:hint="eastAsia"/>
          <w:sz w:val="28"/>
          <w:szCs w:val="28"/>
          <w:highlight w:val="none"/>
          <w:u w:val="none"/>
          <w:lang w:val="en-US" w:eastAsia="zh-CN"/>
        </w:rPr>
        <w:t>元（￥），税率：6%，不含税总价：</w:t>
      </w:r>
      <w:r>
        <w:rPr>
          <w:rFonts w:hint="eastAsia"/>
          <w:sz w:val="28"/>
          <w:szCs w:val="28"/>
          <w:highlight w:val="none"/>
          <w:u w:val="single"/>
          <w:lang w:val="en-US" w:eastAsia="zh-CN"/>
        </w:rPr>
        <w:t xml:space="preserve">       </w:t>
      </w:r>
      <w:r>
        <w:rPr>
          <w:rFonts w:hint="eastAsia"/>
          <w:sz w:val="28"/>
          <w:szCs w:val="28"/>
          <w:highlight w:val="none"/>
          <w:u w:val="none"/>
          <w:lang w:val="en-US" w:eastAsia="zh-CN"/>
        </w:rPr>
        <w:t>元（￥），税额：</w:t>
      </w:r>
      <w:r>
        <w:rPr>
          <w:rFonts w:hint="eastAsia"/>
          <w:sz w:val="28"/>
          <w:szCs w:val="28"/>
          <w:highlight w:val="none"/>
          <w:u w:val="single"/>
          <w:lang w:val="en-US" w:eastAsia="zh-CN"/>
        </w:rPr>
        <w:t xml:space="preserve">       </w:t>
      </w:r>
      <w:r>
        <w:rPr>
          <w:rFonts w:hint="eastAsia"/>
          <w:sz w:val="28"/>
          <w:szCs w:val="28"/>
          <w:highlight w:val="none"/>
          <w:u w:val="none"/>
          <w:lang w:val="en-US" w:eastAsia="zh-CN"/>
        </w:rPr>
        <w:t>元（￥）。</w:t>
      </w:r>
    </w:p>
    <w:p w14:paraId="5CB5B478">
      <w:pPr>
        <w:numPr>
          <w:ilvl w:val="0"/>
          <w:numId w:val="12"/>
        </w:numPr>
        <w:bidi w:val="0"/>
        <w:ind w:leftChars="0"/>
        <w:rPr>
          <w:rFonts w:hint="default"/>
          <w:sz w:val="28"/>
          <w:szCs w:val="28"/>
          <w:highlight w:val="none"/>
          <w:u w:val="none"/>
          <w:lang w:val="en-US" w:eastAsia="zh-CN"/>
        </w:rPr>
      </w:pPr>
      <w:r>
        <w:rPr>
          <w:rFonts w:hint="eastAsia"/>
          <w:sz w:val="28"/>
          <w:szCs w:val="28"/>
          <w:highlight w:val="none"/>
          <w:u w:val="none"/>
          <w:lang w:val="en-US" w:eastAsia="zh-CN"/>
        </w:rPr>
        <w:t>研究开发经费由甲方</w:t>
      </w:r>
      <w:r>
        <w:rPr>
          <w:rFonts w:hint="eastAsia"/>
          <w:sz w:val="28"/>
          <w:szCs w:val="28"/>
          <w:highlight w:val="none"/>
          <w:u w:val="single"/>
          <w:lang w:val="en-US" w:eastAsia="zh-CN"/>
        </w:rPr>
        <w:t xml:space="preserve">  分期  </w:t>
      </w:r>
      <w:r>
        <w:rPr>
          <w:rFonts w:hint="eastAsia"/>
          <w:sz w:val="28"/>
          <w:szCs w:val="28"/>
          <w:highlight w:val="none"/>
          <w:u w:val="none"/>
          <w:lang w:val="en-US" w:eastAsia="zh-CN"/>
        </w:rPr>
        <w:t>（一次、分期或提成）支付乙方。具体支付方式和时间如下：</w:t>
      </w:r>
    </w:p>
    <w:p w14:paraId="3CA04E5B">
      <w:pPr>
        <w:numPr>
          <w:ilvl w:val="0"/>
          <w:numId w:val="0"/>
        </w:numPr>
        <w:bidi w:val="0"/>
        <w:ind w:firstLine="420" w:firstLineChars="0"/>
        <w:rPr>
          <w:rFonts w:hint="eastAsia"/>
          <w:sz w:val="28"/>
          <w:szCs w:val="28"/>
          <w:highlight w:val="none"/>
          <w:u w:val="none"/>
          <w:lang w:val="en-US" w:eastAsia="zh-CN"/>
        </w:rPr>
      </w:pPr>
      <w:r>
        <w:rPr>
          <w:rFonts w:hint="eastAsia"/>
          <w:sz w:val="28"/>
          <w:szCs w:val="28"/>
          <w:highlight w:val="none"/>
          <w:u w:val="none"/>
          <w:lang w:val="en-US" w:eastAsia="zh-CN"/>
        </w:rPr>
        <w:t>乙方开具对应金额的增值税专用发票后，甲方根据甲乙双方共同确认的功能模块研发进度相对应的金额支付研发费用。</w:t>
      </w:r>
    </w:p>
    <w:p w14:paraId="7F22C392">
      <w:pPr>
        <w:numPr>
          <w:ilvl w:val="0"/>
          <w:numId w:val="0"/>
        </w:numPr>
        <w:bidi w:val="0"/>
        <w:ind w:firstLine="420" w:firstLineChars="0"/>
        <w:rPr>
          <w:rFonts w:hint="eastAsia"/>
          <w:sz w:val="28"/>
          <w:szCs w:val="28"/>
          <w:highlight w:val="none"/>
          <w:u w:val="none"/>
          <w:lang w:val="en-US" w:eastAsia="zh-CN"/>
        </w:rPr>
      </w:pPr>
      <w:r>
        <w:rPr>
          <w:rFonts w:hint="eastAsia"/>
          <w:sz w:val="28"/>
          <w:szCs w:val="28"/>
          <w:highlight w:val="none"/>
          <w:u w:val="none"/>
          <w:lang w:val="en-US" w:eastAsia="zh-CN"/>
        </w:rPr>
        <w:t>甲方开票信息:</w:t>
      </w:r>
    </w:p>
    <w:p w14:paraId="4786FDDD">
      <w:pPr>
        <w:numPr>
          <w:ilvl w:val="0"/>
          <w:numId w:val="0"/>
        </w:numPr>
        <w:bidi w:val="0"/>
        <w:ind w:firstLine="420" w:firstLineChars="0"/>
        <w:rPr>
          <w:rFonts w:hint="eastAsia"/>
          <w:sz w:val="28"/>
          <w:szCs w:val="28"/>
          <w:highlight w:val="none"/>
          <w:u w:val="none"/>
          <w:lang w:val="en-US" w:eastAsia="zh-CN"/>
        </w:rPr>
      </w:pPr>
      <w:r>
        <w:rPr>
          <w:rFonts w:hint="eastAsia"/>
          <w:sz w:val="28"/>
          <w:szCs w:val="28"/>
          <w:highlight w:val="none"/>
          <w:u w:val="none"/>
          <w:lang w:val="en-US" w:eastAsia="zh-CN"/>
        </w:rPr>
        <w:t>名称：河南产业互联网联合发展有限公司</w:t>
      </w:r>
    </w:p>
    <w:p w14:paraId="6E2C458C">
      <w:pPr>
        <w:numPr>
          <w:ilvl w:val="0"/>
          <w:numId w:val="0"/>
        </w:numPr>
        <w:bidi w:val="0"/>
        <w:ind w:firstLine="420" w:firstLineChars="0"/>
        <w:rPr>
          <w:rFonts w:hint="eastAsia"/>
          <w:sz w:val="28"/>
          <w:szCs w:val="28"/>
          <w:highlight w:val="none"/>
          <w:u w:val="none"/>
          <w:lang w:val="en-US" w:eastAsia="zh-CN"/>
        </w:rPr>
      </w:pPr>
      <w:r>
        <w:rPr>
          <w:rFonts w:hint="eastAsia"/>
          <w:sz w:val="28"/>
          <w:szCs w:val="28"/>
          <w:highlight w:val="none"/>
          <w:u w:val="none"/>
          <w:lang w:val="en-US" w:eastAsia="zh-CN"/>
        </w:rPr>
        <w:t>税号：91410000MA46W14Y0K</w:t>
      </w:r>
    </w:p>
    <w:p w14:paraId="4ACA7C46">
      <w:pPr>
        <w:numPr>
          <w:ilvl w:val="0"/>
          <w:numId w:val="0"/>
        </w:numPr>
        <w:bidi w:val="0"/>
        <w:ind w:firstLine="420" w:firstLineChars="0"/>
        <w:rPr>
          <w:rFonts w:hint="eastAsia"/>
          <w:sz w:val="28"/>
          <w:szCs w:val="28"/>
          <w:highlight w:val="none"/>
          <w:u w:val="none"/>
          <w:lang w:val="en-US" w:eastAsia="zh-CN"/>
        </w:rPr>
      </w:pPr>
      <w:r>
        <w:rPr>
          <w:rFonts w:hint="eastAsia"/>
          <w:sz w:val="28"/>
          <w:szCs w:val="28"/>
          <w:highlight w:val="none"/>
          <w:u w:val="none"/>
          <w:lang w:val="en-US" w:eastAsia="zh-CN"/>
        </w:rPr>
        <w:t>单位地址：河南省郑州市郑东新区郑开大道136号305室</w:t>
      </w:r>
    </w:p>
    <w:p w14:paraId="6C2CCB9F">
      <w:pPr>
        <w:numPr>
          <w:ilvl w:val="0"/>
          <w:numId w:val="0"/>
        </w:numPr>
        <w:bidi w:val="0"/>
        <w:ind w:firstLine="420" w:firstLineChars="0"/>
        <w:rPr>
          <w:rFonts w:hint="eastAsia"/>
          <w:sz w:val="28"/>
          <w:szCs w:val="28"/>
          <w:highlight w:val="none"/>
          <w:u w:val="none"/>
          <w:lang w:val="en-US" w:eastAsia="zh-CN"/>
        </w:rPr>
      </w:pPr>
      <w:r>
        <w:rPr>
          <w:rFonts w:hint="eastAsia"/>
          <w:sz w:val="28"/>
          <w:szCs w:val="28"/>
          <w:highlight w:val="none"/>
          <w:u w:val="none"/>
          <w:lang w:val="en-US" w:eastAsia="zh-CN"/>
        </w:rPr>
        <w:t>电话：0371-66676661</w:t>
      </w:r>
    </w:p>
    <w:p w14:paraId="356F76D1">
      <w:pPr>
        <w:numPr>
          <w:ilvl w:val="0"/>
          <w:numId w:val="0"/>
        </w:numPr>
        <w:bidi w:val="0"/>
        <w:ind w:firstLine="420" w:firstLineChars="0"/>
        <w:rPr>
          <w:rFonts w:hint="eastAsia"/>
          <w:sz w:val="28"/>
          <w:szCs w:val="28"/>
          <w:highlight w:val="none"/>
          <w:u w:val="none"/>
          <w:lang w:val="en-US" w:eastAsia="zh-CN"/>
        </w:rPr>
      </w:pPr>
      <w:r>
        <w:rPr>
          <w:rFonts w:hint="eastAsia"/>
          <w:sz w:val="28"/>
          <w:szCs w:val="28"/>
          <w:highlight w:val="none"/>
          <w:u w:val="none"/>
          <w:lang w:val="en-US" w:eastAsia="zh-CN"/>
        </w:rPr>
        <w:t>开户银行：浙商银行股份有限公司郑州分行营业部</w:t>
      </w:r>
    </w:p>
    <w:p w14:paraId="2C270A04">
      <w:pPr>
        <w:numPr>
          <w:ilvl w:val="0"/>
          <w:numId w:val="0"/>
        </w:numPr>
        <w:bidi w:val="0"/>
        <w:ind w:firstLine="420" w:firstLineChars="0"/>
        <w:rPr>
          <w:rFonts w:hint="eastAsia"/>
          <w:sz w:val="28"/>
          <w:szCs w:val="28"/>
          <w:highlight w:val="none"/>
          <w:u w:val="none"/>
          <w:lang w:val="en-US" w:eastAsia="zh-CN"/>
        </w:rPr>
      </w:pPr>
      <w:r>
        <w:rPr>
          <w:rFonts w:hint="eastAsia"/>
          <w:sz w:val="28"/>
          <w:szCs w:val="28"/>
          <w:highlight w:val="none"/>
          <w:u w:val="none"/>
          <w:lang w:val="en-US" w:eastAsia="zh-CN"/>
        </w:rPr>
        <w:t>银行账户：4910000010120100166822</w:t>
      </w:r>
    </w:p>
    <w:p w14:paraId="3A4CEFB6">
      <w:pPr>
        <w:numPr>
          <w:ilvl w:val="0"/>
          <w:numId w:val="0"/>
        </w:numPr>
        <w:bidi w:val="0"/>
        <w:ind w:firstLine="420" w:firstLineChars="0"/>
        <w:rPr>
          <w:rFonts w:hint="eastAsia"/>
          <w:sz w:val="28"/>
          <w:szCs w:val="28"/>
          <w:highlight w:val="none"/>
          <w:u w:val="none"/>
          <w:lang w:val="en-US" w:eastAsia="zh-CN"/>
        </w:rPr>
      </w:pPr>
    </w:p>
    <w:p w14:paraId="42E2A7B7">
      <w:pPr>
        <w:numPr>
          <w:ilvl w:val="0"/>
          <w:numId w:val="0"/>
        </w:numPr>
        <w:bidi w:val="0"/>
        <w:ind w:firstLine="420" w:firstLineChars="0"/>
        <w:rPr>
          <w:rFonts w:hint="eastAsia"/>
          <w:sz w:val="28"/>
          <w:szCs w:val="28"/>
          <w:highlight w:val="none"/>
          <w:u w:val="none"/>
          <w:lang w:val="en-US" w:eastAsia="zh-CN"/>
        </w:rPr>
      </w:pPr>
      <w:r>
        <w:rPr>
          <w:rFonts w:hint="eastAsia"/>
          <w:sz w:val="28"/>
          <w:szCs w:val="28"/>
          <w:highlight w:val="none"/>
          <w:u w:val="none"/>
          <w:lang w:val="en-US" w:eastAsia="zh-CN"/>
        </w:rPr>
        <w:t>乙方收款信息：</w:t>
      </w:r>
    </w:p>
    <w:p w14:paraId="6074DC4D">
      <w:pPr>
        <w:numPr>
          <w:ilvl w:val="0"/>
          <w:numId w:val="0"/>
        </w:numPr>
        <w:bidi w:val="0"/>
        <w:ind w:firstLine="420" w:firstLineChars="0"/>
        <w:rPr>
          <w:rFonts w:hint="eastAsia"/>
          <w:sz w:val="28"/>
          <w:szCs w:val="28"/>
          <w:highlight w:val="none"/>
          <w:u w:val="none"/>
          <w:lang w:val="en-US" w:eastAsia="zh-CN"/>
        </w:rPr>
      </w:pPr>
      <w:r>
        <w:rPr>
          <w:rFonts w:hint="eastAsia"/>
          <w:sz w:val="28"/>
          <w:szCs w:val="28"/>
          <w:highlight w:val="none"/>
          <w:u w:val="none"/>
          <w:lang w:val="en-US" w:eastAsia="zh-CN"/>
        </w:rPr>
        <w:t>开户银行：</w:t>
      </w:r>
    </w:p>
    <w:p w14:paraId="0843980B">
      <w:pPr>
        <w:numPr>
          <w:ilvl w:val="0"/>
          <w:numId w:val="0"/>
        </w:numPr>
        <w:bidi w:val="0"/>
        <w:ind w:firstLine="420" w:firstLineChars="0"/>
        <w:rPr>
          <w:rFonts w:hint="eastAsia"/>
          <w:sz w:val="28"/>
          <w:szCs w:val="28"/>
          <w:highlight w:val="none"/>
          <w:u w:val="none"/>
          <w:lang w:val="en-US" w:eastAsia="zh-CN"/>
        </w:rPr>
      </w:pPr>
      <w:r>
        <w:rPr>
          <w:rFonts w:hint="eastAsia"/>
          <w:sz w:val="28"/>
          <w:szCs w:val="28"/>
          <w:highlight w:val="none"/>
          <w:u w:val="none"/>
          <w:lang w:val="en-US" w:eastAsia="zh-CN"/>
        </w:rPr>
        <w:t>地址：</w:t>
      </w:r>
    </w:p>
    <w:p w14:paraId="2419578C">
      <w:pPr>
        <w:numPr>
          <w:ilvl w:val="0"/>
          <w:numId w:val="0"/>
        </w:numPr>
        <w:bidi w:val="0"/>
        <w:ind w:firstLine="420" w:firstLineChars="0"/>
        <w:rPr>
          <w:rFonts w:hint="eastAsia"/>
          <w:sz w:val="28"/>
          <w:szCs w:val="28"/>
          <w:highlight w:val="none"/>
          <w:u w:val="none"/>
          <w:lang w:val="en-US" w:eastAsia="zh-CN"/>
        </w:rPr>
      </w:pPr>
      <w:r>
        <w:rPr>
          <w:rFonts w:hint="eastAsia"/>
          <w:sz w:val="28"/>
          <w:szCs w:val="28"/>
          <w:highlight w:val="none"/>
          <w:u w:val="none"/>
          <w:lang w:val="en-US" w:eastAsia="zh-CN"/>
        </w:rPr>
        <w:t>账号：</w:t>
      </w:r>
    </w:p>
    <w:p w14:paraId="2F4341F6">
      <w:pPr>
        <w:numPr>
          <w:ilvl w:val="0"/>
          <w:numId w:val="0"/>
        </w:numPr>
        <w:bidi w:val="0"/>
        <w:ind w:leftChars="0" w:firstLine="420" w:firstLineChars="0"/>
        <w:rPr>
          <w:rFonts w:hint="eastAsia"/>
          <w:b/>
          <w:bCs/>
          <w:sz w:val="28"/>
          <w:szCs w:val="28"/>
          <w:highlight w:val="none"/>
          <w:u w:val="none"/>
          <w:lang w:val="en-US" w:eastAsia="zh-CN"/>
        </w:rPr>
      </w:pPr>
      <w:r>
        <w:rPr>
          <w:rFonts w:hint="eastAsia"/>
          <w:b/>
          <w:bCs/>
          <w:sz w:val="28"/>
          <w:szCs w:val="28"/>
          <w:highlight w:val="none"/>
          <w:u w:val="none"/>
          <w:lang w:val="en-US" w:eastAsia="zh-CN"/>
        </w:rPr>
        <w:t>如遇国家税率政策调整，合同不含税金额保持不变，按新税率重新计算含税价格，合同总价款随之相应调增或调减，双方遵照执行。</w:t>
      </w:r>
    </w:p>
    <w:p w14:paraId="63322BA6">
      <w:pPr>
        <w:numPr>
          <w:ilvl w:val="0"/>
          <w:numId w:val="7"/>
        </w:numPr>
        <w:bidi w:val="0"/>
        <w:ind w:left="0" w:leftChars="0" w:firstLine="0" w:firstLineChars="0"/>
        <w:rPr>
          <w:rFonts w:hint="eastAsia"/>
          <w:sz w:val="28"/>
          <w:szCs w:val="28"/>
          <w:highlight w:val="none"/>
          <w:u w:val="none"/>
          <w:lang w:val="en-US" w:eastAsia="zh-CN"/>
        </w:rPr>
      </w:pPr>
      <w:r>
        <w:rPr>
          <w:rFonts w:hint="eastAsia"/>
          <w:sz w:val="28"/>
          <w:szCs w:val="28"/>
          <w:highlight w:val="none"/>
          <w:u w:val="none"/>
          <w:lang w:val="en-US" w:eastAsia="zh-CN"/>
        </w:rPr>
        <w:t>本合同的研究开发经费由乙方以</w:t>
      </w:r>
      <w:r>
        <w:rPr>
          <w:rFonts w:hint="eastAsia"/>
          <w:sz w:val="28"/>
          <w:szCs w:val="28"/>
          <w:highlight w:val="none"/>
          <w:u w:val="single"/>
          <w:lang w:val="en-US" w:eastAsia="zh-CN"/>
        </w:rPr>
        <w:t xml:space="preserve"> 软件系统研究开发 </w:t>
      </w:r>
      <w:r>
        <w:rPr>
          <w:rFonts w:hint="eastAsia"/>
          <w:sz w:val="28"/>
          <w:szCs w:val="28"/>
          <w:highlight w:val="none"/>
          <w:u w:val="none"/>
          <w:lang w:val="en-US" w:eastAsia="zh-CN"/>
        </w:rPr>
        <w:t>的方式使用。甲方有权以</w:t>
      </w:r>
      <w:r>
        <w:rPr>
          <w:rFonts w:hint="eastAsia"/>
          <w:sz w:val="28"/>
          <w:szCs w:val="28"/>
          <w:highlight w:val="none"/>
          <w:u w:val="single"/>
          <w:lang w:val="en-US" w:eastAsia="zh-CN"/>
        </w:rPr>
        <w:t xml:space="preserve">  询问  </w:t>
      </w:r>
      <w:r>
        <w:rPr>
          <w:rFonts w:hint="eastAsia"/>
          <w:sz w:val="28"/>
          <w:szCs w:val="28"/>
          <w:highlight w:val="none"/>
          <w:u w:val="none"/>
          <w:lang w:val="en-US" w:eastAsia="zh-CN"/>
        </w:rPr>
        <w:t>的方式检查乙方进行研究开发工作和使用研究开发经费的情况，但不得妨碍乙方的正常工作。</w:t>
      </w:r>
    </w:p>
    <w:p w14:paraId="0F7067E1">
      <w:pPr>
        <w:numPr>
          <w:ilvl w:val="0"/>
          <w:numId w:val="7"/>
        </w:numPr>
        <w:bidi w:val="0"/>
        <w:ind w:left="0" w:leftChars="0" w:firstLine="0" w:firstLineChars="0"/>
        <w:rPr>
          <w:rFonts w:hint="default"/>
          <w:sz w:val="28"/>
          <w:szCs w:val="28"/>
          <w:highlight w:val="none"/>
          <w:u w:val="none"/>
          <w:lang w:val="en-US" w:eastAsia="zh-CN"/>
        </w:rPr>
      </w:pPr>
      <w:r>
        <w:rPr>
          <w:rFonts w:hint="eastAsia"/>
          <w:sz w:val="28"/>
          <w:szCs w:val="28"/>
          <w:highlight w:val="none"/>
          <w:u w:val="none"/>
          <w:lang w:val="en-US" w:eastAsia="zh-CN"/>
        </w:rPr>
        <w:t xml:space="preserve"> 本合同的变更必须由甲乙双方协商一致，并以书面形式确定。</w:t>
      </w:r>
    </w:p>
    <w:p w14:paraId="6AA7BCE9">
      <w:pPr>
        <w:numPr>
          <w:ilvl w:val="0"/>
          <w:numId w:val="7"/>
        </w:numPr>
        <w:bidi w:val="0"/>
        <w:ind w:left="0" w:leftChars="0" w:firstLine="0" w:firstLineChars="0"/>
        <w:rPr>
          <w:rFonts w:hint="default"/>
          <w:sz w:val="28"/>
          <w:szCs w:val="28"/>
          <w:highlight w:val="none"/>
          <w:u w:val="none"/>
          <w:lang w:val="en-US" w:eastAsia="zh-CN"/>
        </w:rPr>
      </w:pPr>
      <w:r>
        <w:rPr>
          <w:rFonts w:hint="eastAsia"/>
          <w:sz w:val="28"/>
          <w:szCs w:val="28"/>
          <w:highlight w:val="none"/>
          <w:u w:val="none"/>
          <w:lang w:val="en-US" w:eastAsia="zh-CN"/>
        </w:rPr>
        <w:t xml:space="preserve"> 未经己方同意，乙方不得降本合同项目部分或全部研究开发工作转让第三人承担。</w:t>
      </w:r>
    </w:p>
    <w:p w14:paraId="085ABC13">
      <w:pPr>
        <w:numPr>
          <w:ilvl w:val="0"/>
          <w:numId w:val="7"/>
        </w:numPr>
        <w:bidi w:val="0"/>
        <w:ind w:left="0" w:leftChars="0" w:firstLine="0" w:firstLineChars="0"/>
        <w:rPr>
          <w:rFonts w:hint="default"/>
          <w:sz w:val="28"/>
          <w:szCs w:val="28"/>
          <w:highlight w:val="none"/>
          <w:u w:val="none"/>
          <w:lang w:val="en-US" w:eastAsia="zh-CN"/>
        </w:rPr>
      </w:pPr>
      <w:r>
        <w:rPr>
          <w:rFonts w:hint="eastAsia"/>
          <w:sz w:val="28"/>
          <w:szCs w:val="28"/>
          <w:highlight w:val="none"/>
          <w:u w:val="none"/>
          <w:lang w:val="en-US" w:eastAsia="zh-CN"/>
        </w:rPr>
        <w:t xml:space="preserve"> 在本合同履行中，因出现在现有技术水平和条件下难以客服的技术困难，导致研究开发失败或部分失败，并造成一方或甲乙双方损失的，甲乙双方按如下约定承担风险损失：</w:t>
      </w:r>
      <w:r>
        <w:rPr>
          <w:rFonts w:hint="eastAsia"/>
          <w:sz w:val="28"/>
          <w:szCs w:val="28"/>
          <w:highlight w:val="none"/>
          <w:u w:val="single"/>
          <w:lang w:val="en-US" w:eastAsia="zh-CN"/>
        </w:rPr>
        <w:t xml:space="preserve"> 甲乙双方协商  </w:t>
      </w:r>
      <w:r>
        <w:rPr>
          <w:rFonts w:hint="eastAsia"/>
          <w:sz w:val="28"/>
          <w:szCs w:val="28"/>
          <w:highlight w:val="none"/>
          <w:u w:val="none"/>
          <w:lang w:val="en-US" w:eastAsia="zh-CN"/>
        </w:rPr>
        <w:t xml:space="preserve">。 </w:t>
      </w:r>
    </w:p>
    <w:p w14:paraId="4C217E40">
      <w:pPr>
        <w:numPr>
          <w:ilvl w:val="0"/>
          <w:numId w:val="0"/>
        </w:numPr>
        <w:bidi w:val="0"/>
        <w:ind w:leftChars="0" w:firstLine="420" w:firstLineChars="0"/>
        <w:rPr>
          <w:rFonts w:hint="eastAsia"/>
          <w:sz w:val="28"/>
          <w:szCs w:val="28"/>
          <w:highlight w:val="none"/>
          <w:u w:val="none"/>
          <w:lang w:val="en-US" w:eastAsia="zh-CN"/>
        </w:rPr>
      </w:pPr>
      <w:r>
        <w:rPr>
          <w:rFonts w:hint="eastAsia"/>
          <w:sz w:val="28"/>
          <w:szCs w:val="28"/>
          <w:highlight w:val="none"/>
          <w:u w:val="none"/>
          <w:lang w:val="en-US" w:eastAsia="zh-CN"/>
        </w:rPr>
        <w:t>甲乙双方确定， 本合同项目的技术风险按</w:t>
      </w:r>
      <w:r>
        <w:rPr>
          <w:rFonts w:hint="eastAsia"/>
          <w:sz w:val="28"/>
          <w:szCs w:val="28"/>
          <w:highlight w:val="none"/>
          <w:u w:val="single"/>
          <w:lang w:val="en-US" w:eastAsia="zh-CN"/>
        </w:rPr>
        <w:t xml:space="preserve"> 甲乙双方协商  </w:t>
      </w:r>
      <w:r>
        <w:rPr>
          <w:rFonts w:hint="eastAsia"/>
          <w:sz w:val="28"/>
          <w:szCs w:val="28"/>
          <w:highlight w:val="none"/>
          <w:u w:val="none"/>
          <w:lang w:val="en-US" w:eastAsia="zh-CN"/>
        </w:rPr>
        <w:t>的方式认定。认定技术风险的基本内容应当包括技术风险的存在、范围、程度及损失大小等。认定技术风险的基本条件是：</w:t>
      </w:r>
    </w:p>
    <w:p w14:paraId="56F6B608">
      <w:pPr>
        <w:numPr>
          <w:ilvl w:val="0"/>
          <w:numId w:val="13"/>
        </w:numPr>
        <w:bidi w:val="0"/>
        <w:ind w:leftChars="0" w:firstLine="420" w:firstLineChars="0"/>
        <w:rPr>
          <w:rFonts w:hint="default"/>
          <w:sz w:val="28"/>
          <w:szCs w:val="28"/>
          <w:highlight w:val="none"/>
          <w:u w:val="none"/>
          <w:lang w:val="en-US" w:eastAsia="zh-CN"/>
        </w:rPr>
      </w:pPr>
      <w:r>
        <w:rPr>
          <w:rFonts w:hint="eastAsia"/>
          <w:sz w:val="28"/>
          <w:szCs w:val="28"/>
          <w:highlight w:val="none"/>
          <w:u w:val="none"/>
          <w:lang w:val="en-US" w:eastAsia="zh-CN"/>
        </w:rPr>
        <w:t>本合同项目在现有技术水平条件下具有足够的难度；</w:t>
      </w:r>
    </w:p>
    <w:p w14:paraId="2B88F054">
      <w:pPr>
        <w:numPr>
          <w:ilvl w:val="0"/>
          <w:numId w:val="13"/>
        </w:numPr>
        <w:bidi w:val="0"/>
        <w:ind w:leftChars="0" w:firstLine="420" w:firstLineChars="0"/>
        <w:rPr>
          <w:rFonts w:hint="default"/>
          <w:sz w:val="28"/>
          <w:szCs w:val="28"/>
          <w:highlight w:val="none"/>
          <w:u w:val="none"/>
          <w:lang w:val="en-US" w:eastAsia="zh-CN"/>
        </w:rPr>
      </w:pPr>
      <w:r>
        <w:rPr>
          <w:rFonts w:hint="eastAsia"/>
          <w:sz w:val="28"/>
          <w:szCs w:val="28"/>
          <w:highlight w:val="none"/>
          <w:u w:val="none"/>
          <w:lang w:val="en-US" w:eastAsia="zh-CN"/>
        </w:rPr>
        <w:t>乙方在主观上无过错且经认定研究开发失败为合理的失败。</w:t>
      </w:r>
    </w:p>
    <w:p w14:paraId="5A39B803">
      <w:pPr>
        <w:numPr>
          <w:ilvl w:val="0"/>
          <w:numId w:val="0"/>
        </w:numPr>
        <w:bidi w:val="0"/>
        <w:rPr>
          <w:rFonts w:hint="eastAsia"/>
          <w:sz w:val="28"/>
          <w:szCs w:val="28"/>
          <w:highlight w:val="none"/>
          <w:u w:val="none"/>
          <w:lang w:val="en-US" w:eastAsia="zh-CN"/>
        </w:rPr>
      </w:pPr>
      <w:r>
        <w:rPr>
          <w:rFonts w:hint="eastAsia"/>
          <w:sz w:val="28"/>
          <w:szCs w:val="28"/>
          <w:highlight w:val="none"/>
          <w:u w:val="none"/>
          <w:lang w:val="en-US" w:eastAsia="zh-CN"/>
        </w:rPr>
        <w:t xml:space="preserve">   一方发现技术风险存在并有可能致使研究开发失败或部分失败的情形时，应当在 </w:t>
      </w:r>
      <w:r>
        <w:rPr>
          <w:rFonts w:hint="eastAsia"/>
          <w:sz w:val="28"/>
          <w:szCs w:val="28"/>
          <w:highlight w:val="none"/>
          <w:u w:val="single"/>
          <w:lang w:val="en-US" w:eastAsia="zh-CN"/>
        </w:rPr>
        <w:t xml:space="preserve"> 三 </w:t>
      </w:r>
      <w:r>
        <w:rPr>
          <w:rFonts w:hint="eastAsia"/>
          <w:sz w:val="28"/>
          <w:szCs w:val="28"/>
          <w:highlight w:val="none"/>
          <w:u w:val="none"/>
          <w:lang w:val="en-US" w:eastAsia="zh-CN"/>
        </w:rPr>
        <w:t>日内通知另一方并采取适当措施减少损失。逾期未通知并未采取适当措施而致使损失扩大的，应当就扩大的损失承担赔偿责任。</w:t>
      </w:r>
    </w:p>
    <w:p w14:paraId="7F34CE15">
      <w:pPr>
        <w:numPr>
          <w:ilvl w:val="0"/>
          <w:numId w:val="7"/>
        </w:numPr>
        <w:bidi w:val="0"/>
        <w:ind w:left="0" w:leftChars="0" w:firstLine="0" w:firstLineChars="0"/>
        <w:rPr>
          <w:rFonts w:hint="eastAsia"/>
          <w:sz w:val="28"/>
          <w:szCs w:val="28"/>
          <w:highlight w:val="none"/>
          <w:u w:val="none"/>
          <w:lang w:val="en-US" w:eastAsia="zh-CN"/>
        </w:rPr>
      </w:pPr>
      <w:r>
        <w:rPr>
          <w:rFonts w:hint="eastAsia"/>
          <w:sz w:val="28"/>
          <w:szCs w:val="28"/>
          <w:highlight w:val="none"/>
          <w:u w:val="none"/>
          <w:lang w:val="en-US" w:eastAsia="zh-CN"/>
        </w:rPr>
        <w:t xml:space="preserve"> 在本合同履行中，因作为研究开发标的的技术已经由他人公开（包括以专利权方式公开）。一方应在 </w:t>
      </w:r>
      <w:r>
        <w:rPr>
          <w:rFonts w:hint="eastAsia"/>
          <w:sz w:val="28"/>
          <w:szCs w:val="28"/>
          <w:highlight w:val="none"/>
          <w:u w:val="single"/>
          <w:lang w:val="en-US" w:eastAsia="zh-CN"/>
        </w:rPr>
        <w:t xml:space="preserve"> 三 </w:t>
      </w:r>
      <w:r>
        <w:rPr>
          <w:rFonts w:hint="eastAsia"/>
          <w:sz w:val="28"/>
          <w:szCs w:val="28"/>
          <w:highlight w:val="none"/>
          <w:u w:val="none"/>
          <w:lang w:val="en-US" w:eastAsia="zh-CN"/>
        </w:rPr>
        <w:t xml:space="preserve"> 日内通知另一方解除合同。逾期未通知致使另一方产生损失的，另一方有权要求予以赔偿。</w:t>
      </w:r>
    </w:p>
    <w:p w14:paraId="1F66572C">
      <w:pPr>
        <w:numPr>
          <w:ilvl w:val="0"/>
          <w:numId w:val="7"/>
        </w:numPr>
        <w:bidi w:val="0"/>
        <w:ind w:left="0" w:leftChars="0" w:firstLine="0" w:firstLineChars="0"/>
        <w:rPr>
          <w:rFonts w:hint="default"/>
          <w:sz w:val="28"/>
          <w:szCs w:val="28"/>
          <w:highlight w:val="none"/>
          <w:u w:val="none"/>
          <w:lang w:val="en-US" w:eastAsia="zh-CN"/>
        </w:rPr>
      </w:pPr>
      <w:r>
        <w:rPr>
          <w:rFonts w:hint="eastAsia"/>
          <w:sz w:val="28"/>
          <w:szCs w:val="28"/>
          <w:highlight w:val="none"/>
          <w:u w:val="none"/>
          <w:lang w:val="en-US" w:eastAsia="zh-CN"/>
        </w:rPr>
        <w:t xml:space="preserve"> 甲乙双方确定因履行本合同应遵守的保密义务如下：</w:t>
      </w:r>
    </w:p>
    <w:p w14:paraId="5138E200">
      <w:pPr>
        <w:numPr>
          <w:ilvl w:val="0"/>
          <w:numId w:val="0"/>
        </w:numPr>
        <w:bidi w:val="0"/>
        <w:ind w:firstLine="420" w:firstLineChars="0"/>
        <w:rPr>
          <w:rFonts w:hint="eastAsia"/>
          <w:sz w:val="28"/>
          <w:szCs w:val="28"/>
          <w:highlight w:val="none"/>
          <w:u w:val="none"/>
          <w:lang w:val="en-US" w:eastAsia="zh-CN"/>
        </w:rPr>
      </w:pPr>
      <w:r>
        <w:rPr>
          <w:rFonts w:hint="eastAsia"/>
          <w:sz w:val="28"/>
          <w:szCs w:val="28"/>
          <w:highlight w:val="none"/>
          <w:u w:val="none"/>
          <w:lang w:val="en-US" w:eastAsia="zh-CN"/>
        </w:rPr>
        <w:t>甲方：</w:t>
      </w:r>
    </w:p>
    <w:p w14:paraId="22273F81">
      <w:pPr>
        <w:numPr>
          <w:ilvl w:val="0"/>
          <w:numId w:val="14"/>
        </w:numPr>
        <w:bidi w:val="0"/>
        <w:ind w:firstLine="420" w:firstLineChars="0"/>
        <w:rPr>
          <w:rFonts w:hint="default"/>
          <w:sz w:val="28"/>
          <w:szCs w:val="28"/>
          <w:highlight w:val="none"/>
          <w:u w:val="none"/>
          <w:lang w:val="en-US" w:eastAsia="zh-CN"/>
        </w:rPr>
      </w:pPr>
      <w:r>
        <w:rPr>
          <w:rFonts w:hint="eastAsia"/>
          <w:sz w:val="28"/>
          <w:szCs w:val="28"/>
          <w:highlight w:val="none"/>
          <w:u w:val="none"/>
          <w:lang w:val="en-US" w:eastAsia="zh-CN"/>
        </w:rPr>
        <w:t>保密内容（包括技术信息和经营信息）：</w:t>
      </w:r>
      <w:r>
        <w:rPr>
          <w:rFonts w:hint="eastAsia"/>
          <w:sz w:val="28"/>
          <w:szCs w:val="28"/>
          <w:highlight w:val="none"/>
          <w:u w:val="single"/>
          <w:lang w:val="en-US" w:eastAsia="zh-CN"/>
        </w:rPr>
        <w:t xml:space="preserve"> 本技术合同内容和合同约定的相关知识产权技术内容。</w:t>
      </w:r>
      <w:r>
        <w:rPr>
          <w:rFonts w:hint="eastAsia"/>
          <w:sz w:val="28"/>
          <w:szCs w:val="28"/>
          <w:highlight w:val="none"/>
          <w:u w:val="none"/>
          <w:lang w:val="en-US" w:eastAsia="zh-CN"/>
        </w:rPr>
        <w:t xml:space="preserve"> </w:t>
      </w:r>
    </w:p>
    <w:p w14:paraId="56EBD41B">
      <w:pPr>
        <w:numPr>
          <w:ilvl w:val="0"/>
          <w:numId w:val="14"/>
        </w:numPr>
        <w:bidi w:val="0"/>
        <w:ind w:firstLine="420" w:firstLineChars="0"/>
        <w:rPr>
          <w:rFonts w:hint="default"/>
          <w:sz w:val="28"/>
          <w:szCs w:val="28"/>
          <w:highlight w:val="none"/>
          <w:u w:val="none"/>
          <w:lang w:val="en-US" w:eastAsia="zh-CN"/>
        </w:rPr>
      </w:pPr>
      <w:r>
        <w:rPr>
          <w:rFonts w:hint="eastAsia"/>
          <w:sz w:val="28"/>
          <w:szCs w:val="28"/>
          <w:highlight w:val="none"/>
          <w:u w:val="none"/>
          <w:lang w:val="en-US" w:eastAsia="zh-CN"/>
        </w:rPr>
        <w:t>涉密人员范围：</w:t>
      </w:r>
      <w:r>
        <w:rPr>
          <w:rFonts w:hint="eastAsia"/>
          <w:sz w:val="28"/>
          <w:szCs w:val="28"/>
          <w:highlight w:val="none"/>
          <w:u w:val="single"/>
          <w:lang w:val="en-US" w:eastAsia="zh-CN"/>
        </w:rPr>
        <w:t>甲方公司所有参与项目员工。</w:t>
      </w:r>
    </w:p>
    <w:p w14:paraId="3863B8C5">
      <w:pPr>
        <w:numPr>
          <w:ilvl w:val="0"/>
          <w:numId w:val="14"/>
        </w:numPr>
        <w:bidi w:val="0"/>
        <w:ind w:firstLine="420" w:firstLineChars="0"/>
        <w:rPr>
          <w:rFonts w:hint="default"/>
          <w:sz w:val="28"/>
          <w:szCs w:val="28"/>
          <w:highlight w:val="none"/>
          <w:u w:val="none"/>
          <w:lang w:val="en-US" w:eastAsia="zh-CN"/>
        </w:rPr>
      </w:pPr>
      <w:r>
        <w:rPr>
          <w:rFonts w:hint="eastAsia"/>
          <w:sz w:val="28"/>
          <w:szCs w:val="28"/>
          <w:highlight w:val="none"/>
          <w:u w:val="none"/>
          <w:lang w:val="en-US" w:eastAsia="zh-CN"/>
        </w:rPr>
        <w:t>保密期限：</w:t>
      </w:r>
      <w:r>
        <w:rPr>
          <w:rFonts w:hint="eastAsia"/>
          <w:sz w:val="28"/>
          <w:szCs w:val="28"/>
          <w:highlight w:val="none"/>
          <w:u w:val="single"/>
          <w:lang w:val="en-US" w:eastAsia="zh-CN"/>
        </w:rPr>
        <w:t>一年。</w:t>
      </w:r>
    </w:p>
    <w:p w14:paraId="254416FA">
      <w:pPr>
        <w:numPr>
          <w:ilvl w:val="0"/>
          <w:numId w:val="14"/>
        </w:numPr>
        <w:bidi w:val="0"/>
        <w:ind w:firstLine="420" w:firstLineChars="0"/>
        <w:rPr>
          <w:rFonts w:hint="default"/>
          <w:sz w:val="28"/>
          <w:szCs w:val="28"/>
          <w:highlight w:val="none"/>
          <w:u w:val="none"/>
          <w:lang w:val="en-US" w:eastAsia="zh-CN"/>
        </w:rPr>
      </w:pPr>
      <w:r>
        <w:rPr>
          <w:rFonts w:hint="eastAsia"/>
          <w:sz w:val="28"/>
          <w:szCs w:val="28"/>
          <w:highlight w:val="none"/>
          <w:u w:val="none"/>
          <w:lang w:val="en-US" w:eastAsia="zh-CN"/>
        </w:rPr>
        <w:t>泄密责任：</w:t>
      </w:r>
      <w:r>
        <w:rPr>
          <w:rFonts w:hint="eastAsia"/>
          <w:sz w:val="28"/>
          <w:szCs w:val="28"/>
          <w:highlight w:val="none"/>
          <w:u w:val="single"/>
          <w:lang w:val="en-US" w:eastAsia="zh-CN"/>
        </w:rPr>
        <w:t>依照法律追究。</w:t>
      </w:r>
    </w:p>
    <w:p w14:paraId="44B3FFFA">
      <w:pPr>
        <w:numPr>
          <w:ilvl w:val="0"/>
          <w:numId w:val="0"/>
        </w:numPr>
        <w:bidi w:val="0"/>
        <w:ind w:firstLine="420" w:firstLineChars="0"/>
        <w:rPr>
          <w:rFonts w:hint="eastAsia"/>
          <w:sz w:val="28"/>
          <w:szCs w:val="28"/>
          <w:highlight w:val="none"/>
          <w:u w:val="none"/>
          <w:lang w:val="en-US" w:eastAsia="zh-CN"/>
        </w:rPr>
      </w:pPr>
      <w:r>
        <w:rPr>
          <w:rFonts w:hint="eastAsia"/>
          <w:sz w:val="28"/>
          <w:szCs w:val="28"/>
          <w:highlight w:val="none"/>
          <w:u w:val="none"/>
          <w:lang w:val="en-US" w:eastAsia="zh-CN"/>
        </w:rPr>
        <w:t>乙方：</w:t>
      </w:r>
    </w:p>
    <w:p w14:paraId="5292B593">
      <w:pPr>
        <w:numPr>
          <w:ilvl w:val="0"/>
          <w:numId w:val="15"/>
        </w:numPr>
        <w:bidi w:val="0"/>
        <w:ind w:firstLine="560" w:firstLineChars="200"/>
        <w:rPr>
          <w:rFonts w:hint="default"/>
          <w:sz w:val="28"/>
          <w:szCs w:val="28"/>
          <w:highlight w:val="none"/>
          <w:u w:val="none"/>
          <w:lang w:val="en-US" w:eastAsia="zh-CN"/>
        </w:rPr>
      </w:pPr>
      <w:r>
        <w:rPr>
          <w:rFonts w:hint="eastAsia"/>
          <w:sz w:val="28"/>
          <w:szCs w:val="28"/>
          <w:highlight w:val="none"/>
          <w:u w:val="none"/>
          <w:lang w:val="en-US" w:eastAsia="zh-CN"/>
        </w:rPr>
        <w:t>保密内容（包括技术信息和经营信息）：</w:t>
      </w:r>
      <w:r>
        <w:rPr>
          <w:rFonts w:hint="eastAsia"/>
          <w:sz w:val="28"/>
          <w:szCs w:val="28"/>
          <w:highlight w:val="none"/>
          <w:u w:val="single"/>
          <w:lang w:val="en-US" w:eastAsia="zh-CN"/>
        </w:rPr>
        <w:t xml:space="preserve">  本技术合同内容和合同约定的相关知识产权技术内容。</w:t>
      </w:r>
      <w:r>
        <w:rPr>
          <w:rFonts w:hint="eastAsia"/>
          <w:sz w:val="28"/>
          <w:szCs w:val="28"/>
          <w:highlight w:val="none"/>
          <w:u w:val="none"/>
          <w:lang w:val="en-US" w:eastAsia="zh-CN"/>
        </w:rPr>
        <w:t xml:space="preserve"> </w:t>
      </w:r>
    </w:p>
    <w:p w14:paraId="7B7CB076">
      <w:pPr>
        <w:numPr>
          <w:ilvl w:val="0"/>
          <w:numId w:val="15"/>
        </w:numPr>
        <w:bidi w:val="0"/>
        <w:ind w:left="0" w:leftChars="0" w:firstLine="560" w:firstLineChars="200"/>
        <w:rPr>
          <w:rFonts w:hint="eastAsia"/>
          <w:sz w:val="28"/>
          <w:szCs w:val="28"/>
          <w:highlight w:val="none"/>
          <w:u w:val="single"/>
          <w:lang w:val="en-US" w:eastAsia="zh-CN"/>
        </w:rPr>
      </w:pPr>
      <w:r>
        <w:rPr>
          <w:rFonts w:hint="eastAsia"/>
          <w:sz w:val="28"/>
          <w:szCs w:val="28"/>
          <w:highlight w:val="none"/>
          <w:u w:val="none"/>
          <w:lang w:val="en-US" w:eastAsia="zh-CN"/>
        </w:rPr>
        <w:t>涉密人员范围：</w:t>
      </w:r>
      <w:r>
        <w:rPr>
          <w:rFonts w:hint="eastAsia"/>
          <w:sz w:val="28"/>
          <w:szCs w:val="28"/>
          <w:highlight w:val="none"/>
          <w:u w:val="single"/>
          <w:lang w:val="en-US" w:eastAsia="zh-CN"/>
        </w:rPr>
        <w:t>乙方公司所有参与项目员工。</w:t>
      </w:r>
    </w:p>
    <w:p w14:paraId="420D1143">
      <w:pPr>
        <w:numPr>
          <w:ilvl w:val="0"/>
          <w:numId w:val="15"/>
        </w:numPr>
        <w:bidi w:val="0"/>
        <w:ind w:left="0" w:leftChars="0" w:firstLine="560" w:firstLineChars="200"/>
        <w:rPr>
          <w:rFonts w:hint="eastAsia"/>
          <w:sz w:val="28"/>
          <w:szCs w:val="28"/>
          <w:highlight w:val="none"/>
          <w:u w:val="single"/>
          <w:lang w:val="en-US" w:eastAsia="zh-CN"/>
        </w:rPr>
      </w:pPr>
      <w:r>
        <w:rPr>
          <w:rFonts w:hint="eastAsia"/>
          <w:sz w:val="28"/>
          <w:szCs w:val="28"/>
          <w:highlight w:val="none"/>
          <w:u w:val="none"/>
          <w:lang w:val="en-US" w:eastAsia="zh-CN"/>
        </w:rPr>
        <w:t>保密期限：</w:t>
      </w:r>
      <w:r>
        <w:rPr>
          <w:rFonts w:hint="eastAsia"/>
          <w:sz w:val="28"/>
          <w:szCs w:val="28"/>
          <w:highlight w:val="none"/>
          <w:u w:val="single"/>
          <w:lang w:val="en-US" w:eastAsia="zh-CN"/>
        </w:rPr>
        <w:t>一年。</w:t>
      </w:r>
    </w:p>
    <w:p w14:paraId="30EB772C">
      <w:pPr>
        <w:numPr>
          <w:ilvl w:val="0"/>
          <w:numId w:val="15"/>
        </w:numPr>
        <w:bidi w:val="0"/>
        <w:ind w:left="0" w:leftChars="0" w:firstLine="560" w:firstLineChars="200"/>
        <w:rPr>
          <w:rFonts w:hint="eastAsia"/>
          <w:sz w:val="28"/>
          <w:szCs w:val="28"/>
          <w:highlight w:val="none"/>
          <w:u w:val="single"/>
          <w:lang w:val="en-US" w:eastAsia="zh-CN"/>
        </w:rPr>
      </w:pPr>
      <w:r>
        <w:rPr>
          <w:rFonts w:hint="eastAsia"/>
          <w:sz w:val="28"/>
          <w:szCs w:val="28"/>
          <w:highlight w:val="none"/>
          <w:u w:val="none"/>
          <w:lang w:val="en-US" w:eastAsia="zh-CN"/>
        </w:rPr>
        <w:t>泄密责任：</w:t>
      </w:r>
      <w:r>
        <w:rPr>
          <w:rFonts w:hint="eastAsia"/>
          <w:sz w:val="28"/>
          <w:szCs w:val="28"/>
          <w:highlight w:val="none"/>
          <w:u w:val="single"/>
          <w:lang w:val="en-US" w:eastAsia="zh-CN"/>
        </w:rPr>
        <w:t>依照法律追究 。</w:t>
      </w:r>
    </w:p>
    <w:p w14:paraId="1AABDB24">
      <w:pPr>
        <w:numPr>
          <w:ilvl w:val="0"/>
          <w:numId w:val="7"/>
        </w:numPr>
        <w:bidi w:val="0"/>
        <w:ind w:left="0" w:leftChars="0" w:firstLine="0" w:firstLineChars="0"/>
        <w:rPr>
          <w:rFonts w:hint="eastAsia"/>
          <w:sz w:val="28"/>
          <w:szCs w:val="28"/>
          <w:highlight w:val="none"/>
          <w:u w:val="none"/>
          <w:lang w:val="en-US" w:eastAsia="zh-CN"/>
        </w:rPr>
      </w:pPr>
      <w:r>
        <w:rPr>
          <w:rFonts w:hint="eastAsia"/>
          <w:sz w:val="28"/>
          <w:szCs w:val="28"/>
          <w:highlight w:val="none"/>
          <w:u w:val="none"/>
          <w:lang w:val="en-US" w:eastAsia="zh-CN"/>
        </w:rPr>
        <w:t>乙方应当按以下方式向甲方交付研究开发成果：</w:t>
      </w:r>
    </w:p>
    <w:p w14:paraId="62DF376D">
      <w:pPr>
        <w:numPr>
          <w:ilvl w:val="0"/>
          <w:numId w:val="0"/>
        </w:numPr>
        <w:bidi w:val="0"/>
        <w:ind w:left="198" w:leftChars="0" w:hanging="198" w:hangingChars="71"/>
        <w:rPr>
          <w:rFonts w:hint="default"/>
          <w:sz w:val="28"/>
          <w:szCs w:val="28"/>
          <w:highlight w:val="none"/>
          <w:u w:val="none"/>
          <w:lang w:val="en-US" w:eastAsia="zh-CN"/>
        </w:rPr>
      </w:pPr>
      <w:r>
        <w:rPr>
          <w:rFonts w:hint="eastAsia"/>
          <w:sz w:val="28"/>
          <w:szCs w:val="28"/>
          <w:highlight w:val="none"/>
          <w:u w:val="none"/>
          <w:lang w:val="en-US" w:eastAsia="zh-CN"/>
        </w:rPr>
        <w:t>研究开发成果交付的形式及数量：</w:t>
      </w:r>
      <w:r>
        <w:rPr>
          <w:rFonts w:hint="eastAsia"/>
          <w:sz w:val="28"/>
          <w:szCs w:val="28"/>
          <w:highlight w:val="none"/>
          <w:u w:val="single"/>
          <w:lang w:val="en-US" w:eastAsia="zh-CN"/>
        </w:rPr>
        <w:t>系统源码及系统技术资料一套，技术资料包括详细设计说明书、操作手册、测试用例及测试报告等</w:t>
      </w:r>
      <w:r>
        <w:rPr>
          <w:rFonts w:hint="eastAsia"/>
          <w:i/>
          <w:iCs/>
          <w:sz w:val="28"/>
          <w:szCs w:val="28"/>
          <w:highlight w:val="none"/>
          <w:u w:val="single"/>
          <w:lang w:val="en-US" w:eastAsia="zh-CN"/>
        </w:rPr>
        <w:t>。</w:t>
      </w:r>
    </w:p>
    <w:p w14:paraId="5F7D0876">
      <w:pPr>
        <w:numPr>
          <w:ilvl w:val="0"/>
          <w:numId w:val="7"/>
        </w:numPr>
        <w:bidi w:val="0"/>
        <w:ind w:left="0" w:leftChars="0" w:firstLine="0" w:firstLineChars="0"/>
        <w:rPr>
          <w:rFonts w:hint="eastAsia"/>
          <w:sz w:val="28"/>
          <w:szCs w:val="28"/>
          <w:highlight w:val="none"/>
          <w:u w:val="single"/>
          <w:lang w:val="en-US" w:eastAsia="zh-CN"/>
        </w:rPr>
      </w:pPr>
      <w:r>
        <w:rPr>
          <w:rFonts w:hint="eastAsia"/>
          <w:sz w:val="28"/>
          <w:szCs w:val="28"/>
          <w:highlight w:val="none"/>
          <w:u w:val="none"/>
          <w:lang w:val="en-US" w:eastAsia="zh-CN"/>
        </w:rPr>
        <w:t>甲乙双方确定，按以下标准及方法对乙方完成的研究开发成果进行验收：</w:t>
      </w:r>
      <w:r>
        <w:rPr>
          <w:rFonts w:hint="eastAsia"/>
          <w:sz w:val="28"/>
          <w:szCs w:val="28"/>
          <w:highlight w:val="none"/>
          <w:u w:val="single"/>
          <w:lang w:val="en-US" w:eastAsia="zh-CN"/>
        </w:rPr>
        <w:t xml:space="preserve">  功能实现性，逻辑关系关联性  。</w:t>
      </w:r>
    </w:p>
    <w:p w14:paraId="402C3696">
      <w:pPr>
        <w:numPr>
          <w:ilvl w:val="0"/>
          <w:numId w:val="7"/>
        </w:numPr>
        <w:bidi w:val="0"/>
        <w:ind w:left="0" w:leftChars="0" w:firstLine="0" w:firstLineChars="0"/>
        <w:rPr>
          <w:rFonts w:hint="default"/>
          <w:sz w:val="28"/>
          <w:szCs w:val="28"/>
          <w:highlight w:val="none"/>
          <w:u w:val="single"/>
          <w:lang w:val="en-US" w:eastAsia="zh-CN"/>
        </w:rPr>
      </w:pPr>
      <w:r>
        <w:rPr>
          <w:rFonts w:hint="eastAsia"/>
          <w:sz w:val="28"/>
          <w:szCs w:val="28"/>
          <w:highlight w:val="none"/>
          <w:u w:val="none"/>
          <w:lang w:val="en-US" w:eastAsia="zh-CN"/>
        </w:rPr>
        <w:t>乙方应当保证期交付给甲方的研究开发成果不侵犯任何第三人的合法权益。如发生第三人指控甲方实施的技术侵权，乙方应当</w:t>
      </w:r>
      <w:r>
        <w:rPr>
          <w:rFonts w:hint="eastAsia"/>
          <w:sz w:val="28"/>
          <w:szCs w:val="28"/>
          <w:highlight w:val="none"/>
          <w:u w:val="single"/>
          <w:lang w:val="en-US" w:eastAsia="zh-CN"/>
        </w:rPr>
        <w:t xml:space="preserve">  承担赔偿甲方本合同金额及意外有可能发生的全部费用及责任  。</w:t>
      </w:r>
    </w:p>
    <w:p w14:paraId="71C38905">
      <w:pPr>
        <w:numPr>
          <w:ilvl w:val="0"/>
          <w:numId w:val="7"/>
        </w:numPr>
        <w:bidi w:val="0"/>
        <w:ind w:left="0" w:leftChars="0" w:firstLine="0" w:firstLineChars="0"/>
        <w:rPr>
          <w:rFonts w:hint="default"/>
          <w:sz w:val="28"/>
          <w:szCs w:val="28"/>
          <w:highlight w:val="none"/>
          <w:u w:val="single"/>
          <w:lang w:val="en-US" w:eastAsia="zh-CN"/>
        </w:rPr>
      </w:pPr>
      <w:r>
        <w:rPr>
          <w:rFonts w:hint="eastAsia"/>
          <w:sz w:val="28"/>
          <w:szCs w:val="28"/>
          <w:highlight w:val="none"/>
          <w:u w:val="none"/>
          <w:lang w:val="en-US" w:eastAsia="zh-CN"/>
        </w:rPr>
        <w:t xml:space="preserve"> 甲乙双方确定，因履行本合同所产生的研究开发成果及其相关知识产权权利归属，按下列第</w:t>
      </w:r>
      <w:r>
        <w:rPr>
          <w:rFonts w:hint="eastAsia"/>
          <w:sz w:val="28"/>
          <w:szCs w:val="28"/>
          <w:highlight w:val="none"/>
          <w:u w:val="single"/>
          <w:lang w:val="en-US" w:eastAsia="zh-CN"/>
        </w:rPr>
        <w:t xml:space="preserve">   1   </w:t>
      </w:r>
      <w:r>
        <w:rPr>
          <w:rFonts w:hint="eastAsia"/>
          <w:sz w:val="28"/>
          <w:szCs w:val="28"/>
          <w:highlight w:val="none"/>
          <w:u w:val="none"/>
          <w:lang w:val="en-US" w:eastAsia="zh-CN"/>
        </w:rPr>
        <w:t>种方式处理：</w:t>
      </w:r>
    </w:p>
    <w:p w14:paraId="79DC0FEC">
      <w:pPr>
        <w:numPr>
          <w:ilvl w:val="0"/>
          <w:numId w:val="16"/>
        </w:numPr>
        <w:bidi w:val="0"/>
        <w:ind w:leftChars="0"/>
        <w:rPr>
          <w:rFonts w:hint="default"/>
          <w:sz w:val="28"/>
          <w:szCs w:val="28"/>
          <w:highlight w:val="none"/>
          <w:u w:val="single"/>
          <w:lang w:val="en-US" w:eastAsia="zh-CN"/>
        </w:rPr>
      </w:pPr>
      <w:r>
        <w:rPr>
          <w:rFonts w:hint="eastAsia"/>
          <w:sz w:val="28"/>
          <w:szCs w:val="28"/>
          <w:highlight w:val="none"/>
          <w:u w:val="single"/>
          <w:lang w:val="en-US" w:eastAsia="zh-CN"/>
        </w:rPr>
        <w:t xml:space="preserve">   甲   </w:t>
      </w:r>
      <w:r>
        <w:rPr>
          <w:rFonts w:hint="eastAsia"/>
          <w:sz w:val="28"/>
          <w:szCs w:val="28"/>
          <w:highlight w:val="none"/>
          <w:u w:val="none"/>
          <w:lang w:val="en-US" w:eastAsia="zh-CN"/>
        </w:rPr>
        <w:t>（甲、乙、双）方享有申请专利的权利。</w:t>
      </w:r>
    </w:p>
    <w:p w14:paraId="41B508B6">
      <w:pPr>
        <w:numPr>
          <w:ilvl w:val="0"/>
          <w:numId w:val="0"/>
        </w:numPr>
        <w:bidi w:val="0"/>
        <w:rPr>
          <w:rFonts w:hint="eastAsia"/>
          <w:sz w:val="28"/>
          <w:szCs w:val="28"/>
          <w:highlight w:val="none"/>
          <w:u w:val="none"/>
          <w:lang w:val="en-US" w:eastAsia="zh-CN"/>
        </w:rPr>
      </w:pPr>
      <w:r>
        <w:rPr>
          <w:rFonts w:hint="eastAsia"/>
          <w:sz w:val="28"/>
          <w:szCs w:val="28"/>
          <w:highlight w:val="none"/>
          <w:u w:val="none"/>
          <w:lang w:val="en-US" w:eastAsia="zh-CN"/>
        </w:rPr>
        <w:t>专利权取得后的使用和有关利益分配方式如下：</w:t>
      </w:r>
      <w:r>
        <w:rPr>
          <w:rFonts w:hint="eastAsia"/>
          <w:sz w:val="28"/>
          <w:szCs w:val="28"/>
          <w:highlight w:val="none"/>
          <w:u w:val="single"/>
          <w:lang w:val="en-US" w:eastAsia="zh-CN"/>
        </w:rPr>
        <w:t xml:space="preserve">  甲方拥有本合同约定的知识产权的所有权及使用权  。</w:t>
      </w:r>
    </w:p>
    <w:p w14:paraId="2368864E">
      <w:pPr>
        <w:numPr>
          <w:ilvl w:val="0"/>
          <w:numId w:val="16"/>
        </w:numPr>
        <w:bidi w:val="0"/>
        <w:ind w:left="0" w:leftChars="0" w:firstLine="0" w:firstLineChars="0"/>
        <w:rPr>
          <w:rFonts w:hint="default"/>
          <w:sz w:val="28"/>
          <w:szCs w:val="28"/>
          <w:highlight w:val="none"/>
          <w:u w:val="none"/>
          <w:lang w:val="en-US" w:eastAsia="zh-CN"/>
        </w:rPr>
      </w:pPr>
      <w:r>
        <w:rPr>
          <w:rFonts w:hint="eastAsia"/>
          <w:sz w:val="28"/>
          <w:szCs w:val="28"/>
          <w:highlight w:val="none"/>
          <w:u w:val="none"/>
          <w:lang w:val="en-US" w:eastAsia="zh-CN"/>
        </w:rPr>
        <w:t>按技术秘密方式处理。有关使用和转让的权利归属及由此产生的利益按以下约定处理：</w:t>
      </w:r>
    </w:p>
    <w:p w14:paraId="07447330">
      <w:pPr>
        <w:numPr>
          <w:ilvl w:val="0"/>
          <w:numId w:val="17"/>
        </w:numPr>
        <w:bidi w:val="0"/>
        <w:ind w:leftChars="0"/>
        <w:rPr>
          <w:rFonts w:hint="eastAsia"/>
          <w:sz w:val="28"/>
          <w:szCs w:val="28"/>
          <w:highlight w:val="none"/>
          <w:u w:val="single"/>
          <w:lang w:val="en-US" w:eastAsia="zh-CN"/>
        </w:rPr>
      </w:pPr>
      <w:r>
        <w:rPr>
          <w:rFonts w:hint="eastAsia"/>
          <w:sz w:val="28"/>
          <w:szCs w:val="28"/>
          <w:highlight w:val="none"/>
          <w:u w:val="none"/>
          <w:lang w:val="en-US" w:eastAsia="zh-CN"/>
        </w:rPr>
        <w:t>技术秘密的使用权：</w:t>
      </w:r>
      <w:r>
        <w:rPr>
          <w:rFonts w:hint="eastAsia"/>
          <w:sz w:val="28"/>
          <w:szCs w:val="28"/>
          <w:highlight w:val="none"/>
          <w:u w:val="single"/>
          <w:lang w:val="en-US" w:eastAsia="zh-CN"/>
        </w:rPr>
        <w:t xml:space="preserve">    甲方拥有     </w:t>
      </w:r>
    </w:p>
    <w:p w14:paraId="4CE3D819">
      <w:pPr>
        <w:numPr>
          <w:ilvl w:val="0"/>
          <w:numId w:val="17"/>
        </w:numPr>
        <w:bidi w:val="0"/>
        <w:ind w:leftChars="0"/>
        <w:rPr>
          <w:rFonts w:hint="default"/>
          <w:sz w:val="28"/>
          <w:szCs w:val="28"/>
          <w:highlight w:val="none"/>
          <w:u w:val="single"/>
          <w:lang w:val="en-US" w:eastAsia="zh-CN"/>
        </w:rPr>
      </w:pPr>
      <w:r>
        <w:rPr>
          <w:rFonts w:hint="eastAsia"/>
          <w:sz w:val="28"/>
          <w:szCs w:val="28"/>
          <w:highlight w:val="none"/>
          <w:u w:val="none"/>
          <w:lang w:val="en-US" w:eastAsia="zh-CN"/>
        </w:rPr>
        <w:t>技术秘密的转让权：</w:t>
      </w:r>
      <w:r>
        <w:rPr>
          <w:rFonts w:hint="eastAsia"/>
          <w:sz w:val="28"/>
          <w:szCs w:val="28"/>
          <w:highlight w:val="none"/>
          <w:u w:val="single"/>
          <w:lang w:val="en-US" w:eastAsia="zh-CN"/>
        </w:rPr>
        <w:t xml:space="preserve">    甲方拥有     </w:t>
      </w:r>
    </w:p>
    <w:p w14:paraId="7DC7C8F2">
      <w:pPr>
        <w:numPr>
          <w:ilvl w:val="0"/>
          <w:numId w:val="17"/>
        </w:numPr>
        <w:bidi w:val="0"/>
        <w:ind w:leftChars="0"/>
        <w:rPr>
          <w:rFonts w:hint="default"/>
          <w:sz w:val="28"/>
          <w:szCs w:val="28"/>
          <w:highlight w:val="none"/>
          <w:u w:val="single"/>
          <w:lang w:val="en-US" w:eastAsia="zh-CN"/>
        </w:rPr>
      </w:pPr>
      <w:r>
        <w:rPr>
          <w:rFonts w:hint="eastAsia"/>
          <w:sz w:val="28"/>
          <w:szCs w:val="28"/>
          <w:highlight w:val="none"/>
          <w:u w:val="none"/>
          <w:lang w:val="en-US" w:eastAsia="zh-CN"/>
        </w:rPr>
        <w:t>相关利益的分配办法：</w:t>
      </w:r>
      <w:r>
        <w:rPr>
          <w:rFonts w:hint="eastAsia"/>
          <w:sz w:val="28"/>
          <w:szCs w:val="28"/>
          <w:highlight w:val="none"/>
          <w:u w:val="single"/>
          <w:lang w:val="en-US" w:eastAsia="zh-CN"/>
        </w:rPr>
        <w:t xml:space="preserve">    甲方拥有   </w:t>
      </w:r>
    </w:p>
    <w:p w14:paraId="31506D75">
      <w:pPr>
        <w:numPr>
          <w:ilvl w:val="0"/>
          <w:numId w:val="0"/>
        </w:numPr>
        <w:bidi w:val="0"/>
        <w:rPr>
          <w:rFonts w:hint="default"/>
          <w:sz w:val="28"/>
          <w:szCs w:val="28"/>
          <w:highlight w:val="none"/>
          <w:u w:val="single"/>
          <w:lang w:val="en-US" w:eastAsia="zh-CN"/>
        </w:rPr>
      </w:pPr>
      <w:r>
        <w:rPr>
          <w:rFonts w:hint="eastAsia"/>
          <w:sz w:val="28"/>
          <w:szCs w:val="28"/>
          <w:highlight w:val="none"/>
          <w:u w:val="none"/>
          <w:lang w:val="en-US" w:eastAsia="zh-CN"/>
        </w:rPr>
        <w:t>甲乙双方对本合同有关的知识产权权利归属特别约定如下：</w:t>
      </w:r>
      <w:r>
        <w:rPr>
          <w:rFonts w:hint="eastAsia"/>
          <w:sz w:val="28"/>
          <w:szCs w:val="28"/>
          <w:highlight w:val="none"/>
          <w:u w:val="single"/>
          <w:lang w:val="en-US" w:eastAsia="zh-CN"/>
        </w:rPr>
        <w:t xml:space="preserve"> 无  。</w:t>
      </w:r>
    </w:p>
    <w:p w14:paraId="495F3AA0">
      <w:pPr>
        <w:numPr>
          <w:ilvl w:val="0"/>
          <w:numId w:val="7"/>
        </w:numPr>
        <w:bidi w:val="0"/>
        <w:ind w:left="0" w:leftChars="0" w:firstLine="0" w:firstLineChars="0"/>
        <w:rPr>
          <w:rFonts w:hint="eastAsia"/>
          <w:sz w:val="28"/>
          <w:szCs w:val="28"/>
          <w:highlight w:val="none"/>
          <w:u w:val="none"/>
          <w:lang w:val="en-US" w:eastAsia="zh-CN"/>
        </w:rPr>
      </w:pPr>
      <w:r>
        <w:rPr>
          <w:rFonts w:hint="eastAsia"/>
          <w:sz w:val="28"/>
          <w:szCs w:val="28"/>
          <w:highlight w:val="none"/>
          <w:u w:val="none"/>
          <w:lang w:val="en-US" w:eastAsia="zh-CN"/>
        </w:rPr>
        <w:t xml:space="preserve"> 乙方不得在向甲方交付研究开发成果之前，自行将研究开发成果转让给第三人。</w:t>
      </w:r>
    </w:p>
    <w:p w14:paraId="16E16D88">
      <w:pPr>
        <w:numPr>
          <w:ilvl w:val="0"/>
          <w:numId w:val="7"/>
        </w:numPr>
        <w:bidi w:val="0"/>
        <w:ind w:left="0" w:leftChars="0" w:firstLine="0" w:firstLineChars="0"/>
        <w:rPr>
          <w:rFonts w:hint="default"/>
          <w:sz w:val="28"/>
          <w:szCs w:val="28"/>
          <w:highlight w:val="none"/>
          <w:u w:val="none"/>
          <w:lang w:val="en-US" w:eastAsia="zh-CN"/>
        </w:rPr>
      </w:pPr>
      <w:r>
        <w:rPr>
          <w:rFonts w:hint="eastAsia"/>
          <w:sz w:val="28"/>
          <w:szCs w:val="28"/>
          <w:highlight w:val="none"/>
          <w:u w:val="none"/>
          <w:lang w:val="en-US" w:eastAsia="zh-CN"/>
        </w:rPr>
        <w:t xml:space="preserve"> 乙方完成本合同项目的研究开发人员享有在有关技术成果文件上写明技术成果完成权利和取得有关荣誉证书、奖励的权利。</w:t>
      </w:r>
    </w:p>
    <w:p w14:paraId="0131E278">
      <w:pPr>
        <w:numPr>
          <w:ilvl w:val="0"/>
          <w:numId w:val="7"/>
        </w:numPr>
        <w:bidi w:val="0"/>
        <w:ind w:left="0" w:leftChars="0" w:firstLine="0" w:firstLineChars="0"/>
        <w:rPr>
          <w:rFonts w:hint="default"/>
          <w:sz w:val="28"/>
          <w:szCs w:val="28"/>
          <w:highlight w:val="none"/>
          <w:u w:val="none"/>
          <w:lang w:val="en-US" w:eastAsia="zh-CN"/>
        </w:rPr>
      </w:pPr>
      <w:r>
        <w:rPr>
          <w:rFonts w:hint="eastAsia"/>
          <w:sz w:val="28"/>
          <w:szCs w:val="28"/>
          <w:highlight w:val="none"/>
          <w:u w:val="none"/>
          <w:lang w:val="en-US" w:eastAsia="zh-CN"/>
        </w:rPr>
        <w:t xml:space="preserve"> 乙方利用研究开发经费所购置与研究开发工作有关的设备、器材、资料等财产，归</w:t>
      </w:r>
      <w:r>
        <w:rPr>
          <w:rFonts w:hint="eastAsia"/>
          <w:sz w:val="28"/>
          <w:szCs w:val="28"/>
          <w:highlight w:val="none"/>
          <w:u w:val="single"/>
          <w:lang w:val="en-US" w:eastAsia="zh-CN"/>
        </w:rPr>
        <w:t xml:space="preserve">    乙   </w:t>
      </w:r>
      <w:r>
        <w:rPr>
          <w:rFonts w:hint="eastAsia"/>
          <w:sz w:val="28"/>
          <w:szCs w:val="28"/>
          <w:highlight w:val="none"/>
          <w:u w:val="none"/>
          <w:lang w:val="en-US" w:eastAsia="zh-CN"/>
        </w:rPr>
        <w:t>（甲、乙、双）方所有。</w:t>
      </w:r>
    </w:p>
    <w:p w14:paraId="19A15DE8">
      <w:pPr>
        <w:numPr>
          <w:ilvl w:val="0"/>
          <w:numId w:val="7"/>
        </w:numPr>
        <w:bidi w:val="0"/>
        <w:ind w:left="0" w:leftChars="0" w:firstLine="0" w:firstLineChars="0"/>
        <w:rPr>
          <w:rFonts w:hint="default"/>
          <w:sz w:val="28"/>
          <w:szCs w:val="28"/>
          <w:highlight w:val="none"/>
          <w:u w:val="none"/>
          <w:lang w:val="en-US" w:eastAsia="zh-CN"/>
        </w:rPr>
      </w:pPr>
      <w:r>
        <w:rPr>
          <w:rFonts w:hint="eastAsia"/>
          <w:sz w:val="28"/>
          <w:szCs w:val="28"/>
          <w:highlight w:val="none"/>
          <w:u w:val="none"/>
          <w:lang w:val="en-US" w:eastAsia="zh-CN"/>
        </w:rPr>
        <w:t xml:space="preserve"> 甲乙双方确定，乙方应在向甲方交付研究开发成果后，根据甲方的请求，为甲方制定的人员提供技术指导和培训，或提供与使用该研究开发成果相关的技术服务。</w:t>
      </w:r>
    </w:p>
    <w:p w14:paraId="5631CDCF">
      <w:pPr>
        <w:numPr>
          <w:ilvl w:val="0"/>
          <w:numId w:val="18"/>
        </w:numPr>
        <w:bidi w:val="0"/>
        <w:ind w:leftChars="0"/>
        <w:rPr>
          <w:rFonts w:hint="default"/>
          <w:sz w:val="28"/>
          <w:szCs w:val="28"/>
          <w:highlight w:val="none"/>
          <w:u w:val="none"/>
          <w:lang w:val="en-US" w:eastAsia="zh-CN"/>
        </w:rPr>
      </w:pPr>
      <w:r>
        <w:rPr>
          <w:rFonts w:hint="eastAsia"/>
          <w:sz w:val="28"/>
          <w:szCs w:val="28"/>
          <w:highlight w:val="none"/>
          <w:u w:val="none"/>
          <w:lang w:val="en-US" w:eastAsia="zh-CN"/>
        </w:rPr>
        <w:t>技术服务和指导内容：</w:t>
      </w:r>
      <w:r>
        <w:rPr>
          <w:rFonts w:hint="eastAsia"/>
          <w:sz w:val="28"/>
          <w:szCs w:val="28"/>
          <w:highlight w:val="none"/>
          <w:u w:val="single"/>
          <w:lang w:val="en-US" w:eastAsia="zh-CN"/>
        </w:rPr>
        <w:t xml:space="preserve">  甲乙双方自签订合同之日起，乙方免费为甲方提供经甲方验收之后的原始系统，享有合同范围之外2年的技术咨询及技术支持服务（不包括开发的新功能），乙方需保证甲方系统的正常运转  。</w:t>
      </w:r>
    </w:p>
    <w:p w14:paraId="738324AF">
      <w:pPr>
        <w:numPr>
          <w:ilvl w:val="0"/>
          <w:numId w:val="18"/>
        </w:numPr>
        <w:bidi w:val="0"/>
        <w:ind w:leftChars="0"/>
        <w:rPr>
          <w:rFonts w:hint="default"/>
          <w:sz w:val="28"/>
          <w:szCs w:val="28"/>
          <w:highlight w:val="none"/>
          <w:u w:val="none"/>
          <w:lang w:val="en-US" w:eastAsia="zh-CN"/>
        </w:rPr>
      </w:pPr>
      <w:r>
        <w:rPr>
          <w:rFonts w:hint="eastAsia"/>
          <w:sz w:val="28"/>
          <w:szCs w:val="28"/>
          <w:highlight w:val="none"/>
          <w:u w:val="none"/>
          <w:lang w:val="en-US" w:eastAsia="zh-CN"/>
        </w:rPr>
        <w:t>地点和方式：</w:t>
      </w:r>
      <w:r>
        <w:rPr>
          <w:rFonts w:hint="eastAsia"/>
          <w:sz w:val="28"/>
          <w:szCs w:val="28"/>
          <w:highlight w:val="none"/>
          <w:u w:val="single"/>
          <w:lang w:val="en-US" w:eastAsia="zh-CN"/>
        </w:rPr>
        <w:t xml:space="preserve">免费服务器内提供7X24小时（国家法定假日除外）；通过邮件、电话和现场指导的方式。 </w:t>
      </w:r>
    </w:p>
    <w:p w14:paraId="47E46A46">
      <w:pPr>
        <w:numPr>
          <w:ilvl w:val="0"/>
          <w:numId w:val="18"/>
        </w:numPr>
        <w:bidi w:val="0"/>
        <w:ind w:leftChars="0"/>
        <w:rPr>
          <w:rFonts w:hint="default"/>
          <w:sz w:val="28"/>
          <w:szCs w:val="28"/>
          <w:highlight w:val="none"/>
          <w:u w:val="none"/>
          <w:lang w:val="en-US" w:eastAsia="zh-CN"/>
        </w:rPr>
      </w:pPr>
      <w:r>
        <w:rPr>
          <w:rFonts w:hint="eastAsia"/>
          <w:sz w:val="28"/>
          <w:szCs w:val="28"/>
          <w:highlight w:val="none"/>
          <w:u w:val="none"/>
          <w:lang w:val="en-US" w:eastAsia="zh-CN"/>
        </w:rPr>
        <w:t>费用及支付方式：</w:t>
      </w:r>
      <w:r>
        <w:rPr>
          <w:rFonts w:hint="eastAsia"/>
          <w:sz w:val="28"/>
          <w:szCs w:val="28"/>
          <w:highlight w:val="none"/>
          <w:u w:val="single"/>
          <w:lang w:val="en-US" w:eastAsia="zh-CN"/>
        </w:rPr>
        <w:t>无。</w:t>
      </w:r>
    </w:p>
    <w:p w14:paraId="1D14B6BB">
      <w:pPr>
        <w:numPr>
          <w:ilvl w:val="0"/>
          <w:numId w:val="0"/>
        </w:numPr>
        <w:bidi w:val="0"/>
        <w:rPr>
          <w:rFonts w:hint="eastAsia"/>
          <w:sz w:val="28"/>
          <w:szCs w:val="28"/>
          <w:highlight w:val="none"/>
          <w:u w:val="none"/>
          <w:lang w:val="en-US" w:eastAsia="zh-CN"/>
        </w:rPr>
      </w:pPr>
      <w:r>
        <w:rPr>
          <w:rFonts w:hint="eastAsia"/>
          <w:b/>
          <w:bCs/>
          <w:sz w:val="28"/>
          <w:szCs w:val="28"/>
          <w:highlight w:val="none"/>
          <w:u w:val="none"/>
          <w:lang w:val="en-US" w:eastAsia="zh-CN"/>
        </w:rPr>
        <w:t>第二十条</w:t>
      </w:r>
      <w:r>
        <w:rPr>
          <w:rFonts w:hint="eastAsia"/>
          <w:sz w:val="28"/>
          <w:szCs w:val="28"/>
          <w:highlight w:val="none"/>
          <w:u w:val="none"/>
          <w:lang w:val="en-US" w:eastAsia="zh-CN"/>
        </w:rPr>
        <w:t xml:space="preserve"> 甲乙双方确定：任何一方违反本合同约定，造成研究开发停滞、延误或失败的，按一下约定承担违约责任；</w:t>
      </w:r>
    </w:p>
    <w:p w14:paraId="05772566">
      <w:pPr>
        <w:numPr>
          <w:ilvl w:val="0"/>
          <w:numId w:val="19"/>
        </w:numPr>
        <w:bidi w:val="0"/>
        <w:rPr>
          <w:rFonts w:hint="default"/>
          <w:sz w:val="28"/>
          <w:szCs w:val="28"/>
          <w:highlight w:val="none"/>
          <w:u w:val="none"/>
          <w:lang w:val="en-US" w:eastAsia="zh-CN"/>
        </w:rPr>
      </w:pPr>
      <w:r>
        <w:rPr>
          <w:rFonts w:hint="eastAsia"/>
          <w:sz w:val="28"/>
          <w:szCs w:val="28"/>
          <w:highlight w:val="none"/>
          <w:u w:val="single"/>
          <w:lang w:val="en-US" w:eastAsia="zh-CN"/>
        </w:rPr>
        <w:t xml:space="preserve">  甲  </w:t>
      </w:r>
      <w:r>
        <w:rPr>
          <w:rFonts w:hint="eastAsia"/>
          <w:sz w:val="28"/>
          <w:szCs w:val="28"/>
          <w:highlight w:val="none"/>
          <w:u w:val="none"/>
          <w:lang w:val="en-US" w:eastAsia="zh-CN"/>
        </w:rPr>
        <w:t xml:space="preserve">方违反本合同第 </w:t>
      </w:r>
      <w:r>
        <w:rPr>
          <w:rFonts w:hint="eastAsia"/>
          <w:sz w:val="28"/>
          <w:szCs w:val="28"/>
          <w:highlight w:val="none"/>
          <w:u w:val="single"/>
          <w:lang w:val="en-US" w:eastAsia="zh-CN"/>
        </w:rPr>
        <w:t xml:space="preserve"> 五  </w:t>
      </w:r>
      <w:r>
        <w:rPr>
          <w:rFonts w:hint="eastAsia"/>
          <w:sz w:val="28"/>
          <w:szCs w:val="28"/>
          <w:highlight w:val="none"/>
          <w:u w:val="none"/>
          <w:lang w:val="en-US" w:eastAsia="zh-CN"/>
        </w:rPr>
        <w:t xml:space="preserve">条约定，应当 </w:t>
      </w:r>
      <w:r>
        <w:rPr>
          <w:rFonts w:hint="eastAsia"/>
          <w:sz w:val="28"/>
          <w:szCs w:val="28"/>
          <w:highlight w:val="none"/>
          <w:u w:val="single"/>
          <w:lang w:val="en-US" w:eastAsia="zh-CN"/>
        </w:rPr>
        <w:t>支付乙方违约金，具体协商决定 （</w:t>
      </w:r>
      <w:r>
        <w:rPr>
          <w:rFonts w:hint="eastAsia"/>
          <w:sz w:val="28"/>
          <w:szCs w:val="28"/>
          <w:highlight w:val="none"/>
          <w:u w:val="none"/>
          <w:lang w:val="en-US" w:eastAsia="zh-CN"/>
        </w:rPr>
        <w:t>支付违约金或损失赔偿额的计算方法）。</w:t>
      </w:r>
    </w:p>
    <w:p w14:paraId="6200BDB7">
      <w:pPr>
        <w:numPr>
          <w:ilvl w:val="0"/>
          <w:numId w:val="19"/>
        </w:numPr>
        <w:bidi w:val="0"/>
        <w:rPr>
          <w:rFonts w:hint="default"/>
          <w:sz w:val="28"/>
          <w:szCs w:val="28"/>
          <w:highlight w:val="none"/>
          <w:u w:val="none"/>
          <w:lang w:val="en-US" w:eastAsia="zh-CN"/>
        </w:rPr>
      </w:pPr>
      <w:r>
        <w:rPr>
          <w:rFonts w:hint="eastAsia"/>
          <w:sz w:val="28"/>
          <w:szCs w:val="28"/>
          <w:highlight w:val="none"/>
          <w:u w:val="single"/>
          <w:lang w:val="en-US" w:eastAsia="zh-CN"/>
        </w:rPr>
        <w:t xml:space="preserve">   乙 </w:t>
      </w:r>
      <w:r>
        <w:rPr>
          <w:rFonts w:hint="eastAsia"/>
          <w:sz w:val="28"/>
          <w:szCs w:val="28"/>
          <w:highlight w:val="none"/>
          <w:u w:val="none"/>
          <w:lang w:val="en-US" w:eastAsia="zh-CN"/>
        </w:rPr>
        <w:t xml:space="preserve">方违反本合同的第 </w:t>
      </w:r>
      <w:r>
        <w:rPr>
          <w:rFonts w:hint="eastAsia"/>
          <w:sz w:val="28"/>
          <w:szCs w:val="28"/>
          <w:highlight w:val="none"/>
          <w:u w:val="single"/>
          <w:lang w:val="en-US" w:eastAsia="zh-CN"/>
        </w:rPr>
        <w:t xml:space="preserve">十二 </w:t>
      </w:r>
      <w:r>
        <w:rPr>
          <w:rFonts w:hint="eastAsia"/>
          <w:sz w:val="28"/>
          <w:szCs w:val="28"/>
          <w:highlight w:val="none"/>
          <w:u w:val="none"/>
          <w:lang w:val="en-US" w:eastAsia="zh-CN"/>
        </w:rPr>
        <w:t>条约定，应当</w:t>
      </w:r>
      <w:r>
        <w:rPr>
          <w:rFonts w:hint="eastAsia"/>
          <w:sz w:val="28"/>
          <w:szCs w:val="28"/>
          <w:highlight w:val="none"/>
          <w:u w:val="single"/>
          <w:lang w:val="en-US" w:eastAsia="zh-CN"/>
        </w:rPr>
        <w:t xml:space="preserve">  支付甲方违约金。具体金额协商决定 </w:t>
      </w:r>
      <w:r>
        <w:rPr>
          <w:rFonts w:hint="eastAsia"/>
          <w:sz w:val="28"/>
          <w:szCs w:val="28"/>
          <w:highlight w:val="none"/>
          <w:u w:val="none"/>
          <w:lang w:val="en-US" w:eastAsia="zh-CN"/>
        </w:rPr>
        <w:t>（支付违约金或损失赔偿额的计算方法）。</w:t>
      </w:r>
    </w:p>
    <w:p w14:paraId="3DDBB818">
      <w:pPr>
        <w:numPr>
          <w:ilvl w:val="0"/>
          <w:numId w:val="0"/>
        </w:numPr>
        <w:bidi w:val="0"/>
        <w:rPr>
          <w:rFonts w:hint="eastAsia"/>
          <w:sz w:val="28"/>
          <w:szCs w:val="28"/>
          <w:highlight w:val="none"/>
          <w:u w:val="none"/>
          <w:lang w:val="en-US" w:eastAsia="zh-CN"/>
        </w:rPr>
      </w:pPr>
      <w:r>
        <w:rPr>
          <w:rFonts w:hint="eastAsia"/>
          <w:b/>
          <w:bCs/>
          <w:sz w:val="28"/>
          <w:szCs w:val="28"/>
          <w:highlight w:val="none"/>
          <w:u w:val="none"/>
          <w:lang w:val="en-US" w:eastAsia="zh-CN"/>
        </w:rPr>
        <w:t>第二十一条</w:t>
      </w:r>
      <w:r>
        <w:rPr>
          <w:rFonts w:hint="eastAsia"/>
          <w:sz w:val="28"/>
          <w:szCs w:val="28"/>
          <w:highlight w:val="none"/>
          <w:u w:val="none"/>
          <w:lang w:val="en-US" w:eastAsia="zh-CN"/>
        </w:rPr>
        <w:t xml:space="preserve"> 甲乙双方确定，甲方有权利用乙方按照本合同约定提供的研究开发成果，进行后续改进。由此产生的具有实质性或创造性技术进步特征的新的技术成果及其权属，由</w:t>
      </w:r>
      <w:r>
        <w:rPr>
          <w:rFonts w:hint="eastAsia"/>
          <w:sz w:val="28"/>
          <w:szCs w:val="28"/>
          <w:highlight w:val="none"/>
          <w:u w:val="single"/>
          <w:lang w:val="en-US" w:eastAsia="zh-CN"/>
        </w:rPr>
        <w:t xml:space="preserve">  甲  </w:t>
      </w:r>
      <w:r>
        <w:rPr>
          <w:rFonts w:hint="eastAsia"/>
          <w:sz w:val="28"/>
          <w:szCs w:val="28"/>
          <w:highlight w:val="none"/>
          <w:u w:val="none"/>
          <w:lang w:val="en-US" w:eastAsia="zh-CN"/>
        </w:rPr>
        <w:t>（甲、乙、双）方享有。具体相关利益的分配办法如下：</w:t>
      </w:r>
      <w:r>
        <w:rPr>
          <w:rFonts w:hint="eastAsia"/>
          <w:sz w:val="28"/>
          <w:szCs w:val="28"/>
          <w:highlight w:val="none"/>
          <w:u w:val="single"/>
          <w:lang w:val="en-US" w:eastAsia="zh-CN"/>
        </w:rPr>
        <w:t>无  。</w:t>
      </w:r>
    </w:p>
    <w:p w14:paraId="0BA1DBF4">
      <w:pPr>
        <w:numPr>
          <w:ilvl w:val="0"/>
          <w:numId w:val="0"/>
        </w:numPr>
        <w:bidi w:val="0"/>
        <w:ind w:firstLine="420" w:firstLineChars="0"/>
        <w:rPr>
          <w:rFonts w:hint="eastAsia"/>
          <w:sz w:val="28"/>
          <w:szCs w:val="28"/>
          <w:highlight w:val="none"/>
          <w:u w:val="single"/>
          <w:lang w:val="en-US" w:eastAsia="zh-CN"/>
        </w:rPr>
      </w:pPr>
      <w:r>
        <w:rPr>
          <w:rFonts w:hint="eastAsia"/>
          <w:sz w:val="28"/>
          <w:szCs w:val="28"/>
          <w:highlight w:val="none"/>
          <w:u w:val="none"/>
          <w:lang w:val="en-US" w:eastAsia="zh-CN"/>
        </w:rPr>
        <w:t>乙方有权在完成本合同约定的研究开发工作后，利用该项研究开发成果进行后续改进。由此产生的具有实质性或创造性技术进步特征的新的技术成果，归</w:t>
      </w:r>
      <w:r>
        <w:rPr>
          <w:rFonts w:hint="eastAsia"/>
          <w:sz w:val="28"/>
          <w:szCs w:val="28"/>
          <w:highlight w:val="none"/>
          <w:u w:val="single"/>
          <w:lang w:val="en-US" w:eastAsia="zh-CN"/>
        </w:rPr>
        <w:t xml:space="preserve">  甲  </w:t>
      </w:r>
      <w:r>
        <w:rPr>
          <w:rFonts w:hint="eastAsia"/>
          <w:sz w:val="28"/>
          <w:szCs w:val="28"/>
          <w:highlight w:val="none"/>
          <w:u w:val="none"/>
          <w:lang w:val="en-US" w:eastAsia="zh-CN"/>
        </w:rPr>
        <w:t>（甲、乙、双）方所有，具体相关利益的分配办法如下：</w:t>
      </w:r>
      <w:r>
        <w:rPr>
          <w:rFonts w:hint="eastAsia"/>
          <w:sz w:val="28"/>
          <w:szCs w:val="28"/>
          <w:highlight w:val="none"/>
          <w:u w:val="single"/>
          <w:lang w:val="en-US" w:eastAsia="zh-CN"/>
        </w:rPr>
        <w:t>无  。</w:t>
      </w:r>
    </w:p>
    <w:p w14:paraId="5A55D259">
      <w:pPr>
        <w:numPr>
          <w:ilvl w:val="0"/>
          <w:numId w:val="0"/>
        </w:numPr>
        <w:bidi w:val="0"/>
        <w:rPr>
          <w:rFonts w:hint="eastAsia"/>
          <w:sz w:val="28"/>
          <w:szCs w:val="28"/>
          <w:highlight w:val="none"/>
          <w:u w:val="single"/>
          <w:lang w:val="en-US" w:eastAsia="zh-CN"/>
        </w:rPr>
      </w:pPr>
      <w:r>
        <w:rPr>
          <w:rFonts w:hint="eastAsia"/>
          <w:b/>
          <w:bCs/>
          <w:sz w:val="28"/>
          <w:szCs w:val="28"/>
          <w:highlight w:val="none"/>
          <w:u w:val="none"/>
          <w:lang w:val="en-US" w:eastAsia="zh-CN"/>
        </w:rPr>
        <w:t>第二十二条</w:t>
      </w:r>
      <w:r>
        <w:rPr>
          <w:rFonts w:hint="eastAsia"/>
          <w:sz w:val="28"/>
          <w:szCs w:val="28"/>
          <w:highlight w:val="none"/>
          <w:u w:val="none"/>
          <w:lang w:val="en-US" w:eastAsia="zh-CN"/>
        </w:rPr>
        <w:t xml:space="preserve">  甲乙双方确定，在本合同有效期内，甲方指定</w:t>
      </w:r>
      <w:r>
        <w:rPr>
          <w:rFonts w:hint="eastAsia"/>
          <w:sz w:val="28"/>
          <w:szCs w:val="28"/>
          <w:highlight w:val="none"/>
          <w:u w:val="single"/>
          <w:lang w:val="en-US" w:eastAsia="zh-CN"/>
        </w:rPr>
        <w:t xml:space="preserve">    </w:t>
      </w:r>
      <w:r>
        <w:rPr>
          <w:rFonts w:hint="eastAsia"/>
          <w:sz w:val="28"/>
          <w:szCs w:val="28"/>
          <w:highlight w:val="none"/>
          <w:u w:val="none"/>
          <w:lang w:val="en-US" w:eastAsia="zh-CN"/>
        </w:rPr>
        <w:t>为甲方项目联系人，乙方指定</w:t>
      </w:r>
      <w:r>
        <w:rPr>
          <w:rFonts w:hint="eastAsia"/>
          <w:sz w:val="28"/>
          <w:szCs w:val="28"/>
          <w:highlight w:val="none"/>
          <w:u w:val="single"/>
          <w:lang w:val="en-US" w:eastAsia="zh-CN"/>
        </w:rPr>
        <w:t xml:space="preserve">     </w:t>
      </w:r>
      <w:r>
        <w:rPr>
          <w:rFonts w:hint="eastAsia"/>
          <w:sz w:val="28"/>
          <w:szCs w:val="28"/>
          <w:highlight w:val="none"/>
          <w:u w:val="none"/>
          <w:lang w:val="en-US" w:eastAsia="zh-CN"/>
        </w:rPr>
        <w:t>为乙方项目联系人，项目联系人承担以下责任：</w:t>
      </w:r>
      <w:r>
        <w:rPr>
          <w:rFonts w:hint="eastAsia"/>
          <w:sz w:val="28"/>
          <w:szCs w:val="28"/>
          <w:highlight w:val="none"/>
          <w:u w:val="single"/>
          <w:lang w:val="en-US" w:eastAsia="zh-CN"/>
        </w:rPr>
        <w:t xml:space="preserve">   负责人系统维护及故障技术咨询    </w:t>
      </w:r>
    </w:p>
    <w:p w14:paraId="0810F405">
      <w:pPr>
        <w:numPr>
          <w:ilvl w:val="0"/>
          <w:numId w:val="0"/>
        </w:numPr>
        <w:bidi w:val="0"/>
        <w:ind w:firstLine="420" w:firstLineChars="0"/>
        <w:rPr>
          <w:rFonts w:hint="eastAsia"/>
          <w:sz w:val="28"/>
          <w:szCs w:val="28"/>
          <w:highlight w:val="none"/>
          <w:u w:val="none"/>
          <w:lang w:val="en-US" w:eastAsia="zh-CN"/>
        </w:rPr>
      </w:pPr>
      <w:r>
        <w:rPr>
          <w:rFonts w:hint="eastAsia"/>
          <w:sz w:val="28"/>
          <w:szCs w:val="28"/>
          <w:highlight w:val="none"/>
          <w:u w:val="none"/>
          <w:lang w:val="en-US" w:eastAsia="zh-CN"/>
        </w:rPr>
        <w:t>一方变更项目联系人的，应当及时以书面形式通知另一方，未及时通知并影响本合同履行或造成损失的，应承担相应的责任。</w:t>
      </w:r>
    </w:p>
    <w:p w14:paraId="3BA25936">
      <w:pPr>
        <w:numPr>
          <w:ilvl w:val="0"/>
          <w:numId w:val="0"/>
        </w:numPr>
        <w:bidi w:val="0"/>
        <w:rPr>
          <w:rFonts w:hint="eastAsia"/>
          <w:sz w:val="28"/>
          <w:szCs w:val="28"/>
          <w:highlight w:val="none"/>
          <w:u w:val="none"/>
          <w:lang w:val="en-US" w:eastAsia="zh-CN"/>
        </w:rPr>
      </w:pPr>
      <w:r>
        <w:rPr>
          <w:rFonts w:hint="eastAsia"/>
          <w:b/>
          <w:bCs/>
          <w:sz w:val="28"/>
          <w:szCs w:val="28"/>
          <w:highlight w:val="none"/>
          <w:u w:val="none"/>
          <w:lang w:val="en-US" w:eastAsia="zh-CN"/>
        </w:rPr>
        <w:t>第二十三条</w:t>
      </w:r>
      <w:r>
        <w:rPr>
          <w:rFonts w:hint="eastAsia"/>
          <w:sz w:val="28"/>
          <w:szCs w:val="28"/>
          <w:highlight w:val="none"/>
          <w:u w:val="none"/>
          <w:lang w:val="en-US" w:eastAsia="zh-CN"/>
        </w:rPr>
        <w:t xml:space="preserve">  甲乙双方确定，出现下列情形，致使本合同的履行成为不必要或不可能的，一方可以通知另一方解除本合同；</w:t>
      </w:r>
    </w:p>
    <w:p w14:paraId="4EA5C646">
      <w:pPr>
        <w:numPr>
          <w:ilvl w:val="0"/>
          <w:numId w:val="20"/>
        </w:numPr>
        <w:bidi w:val="0"/>
        <w:ind w:left="420" w:leftChars="0"/>
        <w:rPr>
          <w:rFonts w:hint="default"/>
          <w:sz w:val="28"/>
          <w:szCs w:val="28"/>
          <w:highlight w:val="none"/>
          <w:u w:val="none"/>
          <w:lang w:val="en-US" w:eastAsia="zh-CN"/>
        </w:rPr>
      </w:pPr>
      <w:r>
        <w:rPr>
          <w:rFonts w:hint="eastAsia"/>
          <w:sz w:val="28"/>
          <w:szCs w:val="28"/>
          <w:highlight w:val="none"/>
          <w:u w:val="single"/>
          <w:lang w:val="en-US" w:eastAsia="zh-CN"/>
        </w:rPr>
        <w:t>因发生不可抗力或技术风险；</w:t>
      </w:r>
    </w:p>
    <w:p w14:paraId="796AA520">
      <w:pPr>
        <w:numPr>
          <w:ilvl w:val="0"/>
          <w:numId w:val="20"/>
        </w:numPr>
        <w:bidi w:val="0"/>
        <w:ind w:left="420" w:leftChars="0"/>
        <w:rPr>
          <w:rFonts w:hint="default"/>
          <w:sz w:val="28"/>
          <w:szCs w:val="28"/>
          <w:highlight w:val="none"/>
          <w:u w:val="none"/>
          <w:lang w:val="en-US" w:eastAsia="zh-CN"/>
        </w:rPr>
      </w:pPr>
      <w:r>
        <w:rPr>
          <w:rFonts w:hint="eastAsia"/>
          <w:sz w:val="28"/>
          <w:szCs w:val="28"/>
          <w:highlight w:val="none"/>
          <w:u w:val="single"/>
          <w:lang w:val="en-US" w:eastAsia="zh-CN"/>
        </w:rPr>
        <w:t>本合同到期，切甲乙双方没有续签合同，本合同终止。</w:t>
      </w:r>
    </w:p>
    <w:p w14:paraId="47E9A6E2">
      <w:pPr>
        <w:numPr>
          <w:ilvl w:val="0"/>
          <w:numId w:val="0"/>
        </w:numPr>
        <w:bidi w:val="0"/>
        <w:rPr>
          <w:rFonts w:hint="eastAsia"/>
          <w:sz w:val="28"/>
          <w:szCs w:val="28"/>
          <w:highlight w:val="none"/>
          <w:u w:val="none"/>
          <w:lang w:val="en-US" w:eastAsia="zh-CN"/>
        </w:rPr>
      </w:pPr>
      <w:r>
        <w:rPr>
          <w:rFonts w:hint="eastAsia"/>
          <w:b/>
          <w:bCs/>
          <w:sz w:val="28"/>
          <w:szCs w:val="28"/>
          <w:highlight w:val="none"/>
          <w:u w:val="none"/>
          <w:lang w:val="en-US" w:eastAsia="zh-CN"/>
        </w:rPr>
        <w:t>第二十四条</w:t>
      </w:r>
      <w:r>
        <w:rPr>
          <w:rFonts w:hint="eastAsia"/>
          <w:sz w:val="28"/>
          <w:szCs w:val="28"/>
          <w:highlight w:val="none"/>
          <w:u w:val="none"/>
          <w:lang w:val="en-US" w:eastAsia="zh-CN"/>
        </w:rPr>
        <w:t xml:space="preserve"> 甲乙双方因履行本合同而发生的争议，应协商、调解解决。协商、调解不成的，确定按以下第</w:t>
      </w:r>
      <w:r>
        <w:rPr>
          <w:rFonts w:hint="eastAsia"/>
          <w:sz w:val="28"/>
          <w:szCs w:val="28"/>
          <w:highlight w:val="none"/>
          <w:u w:val="single"/>
          <w:lang w:val="en-US" w:eastAsia="zh-CN"/>
        </w:rPr>
        <w:t xml:space="preserve">  1  </w:t>
      </w:r>
      <w:r>
        <w:rPr>
          <w:rFonts w:hint="eastAsia"/>
          <w:sz w:val="28"/>
          <w:szCs w:val="28"/>
          <w:highlight w:val="none"/>
          <w:u w:val="none"/>
          <w:lang w:val="en-US" w:eastAsia="zh-CN"/>
        </w:rPr>
        <w:t>种方式处理：</w:t>
      </w:r>
    </w:p>
    <w:p w14:paraId="35F071BC">
      <w:pPr>
        <w:numPr>
          <w:ilvl w:val="0"/>
          <w:numId w:val="21"/>
        </w:numPr>
        <w:bidi w:val="0"/>
        <w:ind w:firstLine="420" w:firstLineChars="0"/>
        <w:rPr>
          <w:rFonts w:hint="default"/>
          <w:sz w:val="28"/>
          <w:szCs w:val="28"/>
          <w:highlight w:val="none"/>
          <w:u w:val="none"/>
          <w:lang w:val="en-US" w:eastAsia="zh-CN"/>
        </w:rPr>
      </w:pPr>
      <w:r>
        <w:rPr>
          <w:rFonts w:hint="eastAsia"/>
          <w:sz w:val="28"/>
          <w:szCs w:val="28"/>
          <w:highlight w:val="none"/>
          <w:u w:val="none"/>
          <w:lang w:val="en-US" w:eastAsia="zh-CN"/>
        </w:rPr>
        <w:t>提交</w:t>
      </w:r>
      <w:r>
        <w:rPr>
          <w:rFonts w:hint="eastAsia"/>
          <w:sz w:val="28"/>
          <w:szCs w:val="28"/>
          <w:highlight w:val="none"/>
          <w:u w:val="single"/>
          <w:lang w:val="en-US" w:eastAsia="zh-CN"/>
        </w:rPr>
        <w:t xml:space="preserve">    郑州   </w:t>
      </w:r>
      <w:r>
        <w:rPr>
          <w:rFonts w:hint="eastAsia"/>
          <w:sz w:val="28"/>
          <w:szCs w:val="28"/>
          <w:highlight w:val="none"/>
          <w:u w:val="none"/>
          <w:lang w:val="en-US" w:eastAsia="zh-CN"/>
        </w:rPr>
        <w:t>仲裁委员会仲裁；</w:t>
      </w:r>
    </w:p>
    <w:p w14:paraId="57DB770E">
      <w:pPr>
        <w:numPr>
          <w:ilvl w:val="0"/>
          <w:numId w:val="21"/>
        </w:numPr>
        <w:bidi w:val="0"/>
        <w:ind w:firstLine="420" w:firstLineChars="0"/>
        <w:rPr>
          <w:rFonts w:hint="default"/>
          <w:sz w:val="28"/>
          <w:szCs w:val="28"/>
          <w:highlight w:val="none"/>
          <w:u w:val="none"/>
          <w:lang w:val="en-US" w:eastAsia="zh-CN"/>
        </w:rPr>
      </w:pPr>
      <w:r>
        <w:rPr>
          <w:rFonts w:hint="eastAsia"/>
          <w:sz w:val="28"/>
          <w:szCs w:val="28"/>
          <w:highlight w:val="none"/>
          <w:u w:val="none"/>
          <w:lang w:val="en-US" w:eastAsia="zh-CN"/>
        </w:rPr>
        <w:t>依法向人民法院起诉。</w:t>
      </w:r>
    </w:p>
    <w:p w14:paraId="76F118B4">
      <w:pPr>
        <w:numPr>
          <w:ilvl w:val="0"/>
          <w:numId w:val="0"/>
        </w:numPr>
        <w:bidi w:val="0"/>
        <w:rPr>
          <w:rFonts w:hint="eastAsia"/>
          <w:sz w:val="28"/>
          <w:szCs w:val="28"/>
          <w:highlight w:val="none"/>
          <w:u w:val="none"/>
          <w:lang w:val="en-US" w:eastAsia="zh-CN"/>
        </w:rPr>
      </w:pPr>
      <w:r>
        <w:rPr>
          <w:rFonts w:hint="eastAsia"/>
          <w:b/>
          <w:bCs/>
          <w:sz w:val="28"/>
          <w:szCs w:val="28"/>
          <w:highlight w:val="none"/>
          <w:u w:val="none"/>
          <w:lang w:val="en-US" w:eastAsia="zh-CN"/>
        </w:rPr>
        <w:t>第二十五条</w:t>
      </w:r>
      <w:r>
        <w:rPr>
          <w:rFonts w:hint="eastAsia"/>
          <w:sz w:val="28"/>
          <w:szCs w:val="28"/>
          <w:highlight w:val="none"/>
          <w:u w:val="none"/>
          <w:lang w:val="en-US" w:eastAsia="zh-CN"/>
        </w:rPr>
        <w:t xml:space="preserve">  甲乙双方确定：本合同及相关附件中所涉及的有关名词和技术术语，其定义和解释如下：</w:t>
      </w:r>
      <w:r>
        <w:rPr>
          <w:rFonts w:hint="eastAsia"/>
          <w:sz w:val="28"/>
          <w:szCs w:val="28"/>
          <w:highlight w:val="none"/>
          <w:u w:val="single"/>
          <w:lang w:val="en-US" w:eastAsia="zh-CN"/>
        </w:rPr>
        <w:t>无。</w:t>
      </w:r>
    </w:p>
    <w:p w14:paraId="4AEE15E0">
      <w:pPr>
        <w:numPr>
          <w:ilvl w:val="0"/>
          <w:numId w:val="0"/>
        </w:numPr>
        <w:bidi w:val="0"/>
        <w:rPr>
          <w:rFonts w:hint="eastAsia"/>
          <w:sz w:val="28"/>
          <w:szCs w:val="28"/>
          <w:highlight w:val="none"/>
          <w:u w:val="none"/>
          <w:lang w:val="en-US" w:eastAsia="zh-CN"/>
        </w:rPr>
      </w:pPr>
      <w:r>
        <w:rPr>
          <w:rFonts w:hint="eastAsia"/>
          <w:b/>
          <w:bCs/>
          <w:sz w:val="28"/>
          <w:szCs w:val="28"/>
          <w:highlight w:val="none"/>
          <w:u w:val="none"/>
          <w:lang w:val="en-US" w:eastAsia="zh-CN"/>
        </w:rPr>
        <w:t>第二十六条</w:t>
      </w:r>
      <w:r>
        <w:rPr>
          <w:rFonts w:hint="eastAsia"/>
          <w:sz w:val="28"/>
          <w:szCs w:val="28"/>
          <w:highlight w:val="none"/>
          <w:u w:val="none"/>
          <w:lang w:val="en-US" w:eastAsia="zh-CN"/>
        </w:rPr>
        <w:t xml:space="preserve">  与履行本合同有关的下列技术文件，经甲乙双方确认后，为本合同的组成部分：</w:t>
      </w:r>
    </w:p>
    <w:p w14:paraId="6B48041A">
      <w:pPr>
        <w:numPr>
          <w:ilvl w:val="0"/>
          <w:numId w:val="22"/>
        </w:numPr>
        <w:bidi w:val="0"/>
        <w:ind w:firstLine="420" w:firstLineChars="0"/>
        <w:rPr>
          <w:rFonts w:hint="default"/>
          <w:sz w:val="28"/>
          <w:szCs w:val="28"/>
          <w:highlight w:val="none"/>
          <w:u w:val="none"/>
          <w:lang w:val="en-US" w:eastAsia="zh-CN"/>
        </w:rPr>
      </w:pPr>
      <w:r>
        <w:rPr>
          <w:rFonts w:hint="eastAsia"/>
          <w:sz w:val="28"/>
          <w:szCs w:val="28"/>
          <w:highlight w:val="none"/>
          <w:u w:val="none"/>
          <w:lang w:val="en-US" w:eastAsia="zh-CN"/>
        </w:rPr>
        <w:t>技术背景资料：</w:t>
      </w:r>
      <w:r>
        <w:rPr>
          <w:rFonts w:hint="eastAsia"/>
          <w:sz w:val="28"/>
          <w:szCs w:val="28"/>
          <w:highlight w:val="none"/>
          <w:u w:val="single"/>
          <w:lang w:val="en-US" w:eastAsia="zh-CN"/>
        </w:rPr>
        <w:t xml:space="preserve">     无        ；</w:t>
      </w:r>
    </w:p>
    <w:p w14:paraId="19F09261">
      <w:pPr>
        <w:numPr>
          <w:ilvl w:val="0"/>
          <w:numId w:val="22"/>
        </w:numPr>
        <w:bidi w:val="0"/>
        <w:ind w:firstLine="420" w:firstLineChars="0"/>
        <w:rPr>
          <w:rFonts w:hint="default"/>
          <w:sz w:val="28"/>
          <w:szCs w:val="28"/>
          <w:highlight w:val="none"/>
          <w:u w:val="none"/>
          <w:lang w:val="en-US" w:eastAsia="zh-CN"/>
        </w:rPr>
      </w:pPr>
      <w:r>
        <w:rPr>
          <w:rFonts w:hint="eastAsia"/>
          <w:sz w:val="28"/>
          <w:szCs w:val="28"/>
          <w:highlight w:val="none"/>
          <w:u w:val="none"/>
          <w:lang w:val="en-US" w:eastAsia="zh-CN"/>
        </w:rPr>
        <w:t>可行性论证报告：</w:t>
      </w:r>
      <w:r>
        <w:rPr>
          <w:rFonts w:hint="eastAsia"/>
          <w:sz w:val="28"/>
          <w:szCs w:val="28"/>
          <w:highlight w:val="none"/>
          <w:u w:val="single"/>
          <w:lang w:val="en-US" w:eastAsia="zh-CN"/>
        </w:rPr>
        <w:t xml:space="preserve">     无        ；</w:t>
      </w:r>
    </w:p>
    <w:p w14:paraId="2011CA4B">
      <w:pPr>
        <w:numPr>
          <w:ilvl w:val="0"/>
          <w:numId w:val="22"/>
        </w:numPr>
        <w:bidi w:val="0"/>
        <w:ind w:firstLine="420" w:firstLineChars="0"/>
        <w:rPr>
          <w:rFonts w:hint="default"/>
          <w:sz w:val="28"/>
          <w:szCs w:val="28"/>
          <w:highlight w:val="none"/>
          <w:u w:val="none"/>
          <w:lang w:val="en-US" w:eastAsia="zh-CN"/>
        </w:rPr>
      </w:pPr>
      <w:r>
        <w:rPr>
          <w:rFonts w:hint="eastAsia"/>
          <w:sz w:val="28"/>
          <w:szCs w:val="28"/>
          <w:highlight w:val="none"/>
          <w:u w:val="none"/>
          <w:lang w:val="en-US" w:eastAsia="zh-CN"/>
        </w:rPr>
        <w:t>技术评价报告：</w:t>
      </w:r>
      <w:r>
        <w:rPr>
          <w:rFonts w:hint="eastAsia"/>
          <w:sz w:val="28"/>
          <w:szCs w:val="28"/>
          <w:highlight w:val="none"/>
          <w:u w:val="single"/>
          <w:lang w:val="en-US" w:eastAsia="zh-CN"/>
        </w:rPr>
        <w:t xml:space="preserve">     无        ；</w:t>
      </w:r>
    </w:p>
    <w:p w14:paraId="6B42153B">
      <w:pPr>
        <w:numPr>
          <w:ilvl w:val="0"/>
          <w:numId w:val="22"/>
        </w:numPr>
        <w:bidi w:val="0"/>
        <w:ind w:firstLine="420" w:firstLineChars="0"/>
        <w:rPr>
          <w:rFonts w:hint="default"/>
          <w:sz w:val="28"/>
          <w:szCs w:val="28"/>
          <w:highlight w:val="none"/>
          <w:u w:val="none"/>
          <w:lang w:val="en-US" w:eastAsia="zh-CN"/>
        </w:rPr>
      </w:pPr>
      <w:r>
        <w:rPr>
          <w:rFonts w:hint="eastAsia"/>
          <w:sz w:val="28"/>
          <w:szCs w:val="28"/>
          <w:highlight w:val="none"/>
          <w:u w:val="none"/>
          <w:lang w:val="en-US" w:eastAsia="zh-CN"/>
        </w:rPr>
        <w:t>技术标准和规范：</w:t>
      </w:r>
      <w:r>
        <w:rPr>
          <w:rFonts w:hint="eastAsia"/>
          <w:sz w:val="28"/>
          <w:szCs w:val="28"/>
          <w:highlight w:val="none"/>
          <w:u w:val="single"/>
          <w:lang w:val="en-US" w:eastAsia="zh-CN"/>
        </w:rPr>
        <w:t xml:space="preserve">     包含       ；</w:t>
      </w:r>
    </w:p>
    <w:p w14:paraId="175444D6">
      <w:pPr>
        <w:numPr>
          <w:ilvl w:val="0"/>
          <w:numId w:val="22"/>
        </w:numPr>
        <w:bidi w:val="0"/>
        <w:ind w:left="0" w:leftChars="0" w:firstLine="420" w:firstLineChars="0"/>
        <w:rPr>
          <w:rFonts w:hint="default"/>
          <w:sz w:val="28"/>
          <w:szCs w:val="28"/>
          <w:highlight w:val="none"/>
          <w:u w:val="single"/>
          <w:lang w:val="en-US" w:eastAsia="zh-CN"/>
        </w:rPr>
      </w:pPr>
      <w:r>
        <w:rPr>
          <w:rFonts w:hint="eastAsia"/>
          <w:sz w:val="28"/>
          <w:szCs w:val="28"/>
          <w:highlight w:val="none"/>
          <w:u w:val="none"/>
          <w:lang w:val="en-US" w:eastAsia="zh-CN"/>
        </w:rPr>
        <w:t>原始设计和工艺文件：</w:t>
      </w:r>
      <w:r>
        <w:rPr>
          <w:rFonts w:hint="eastAsia"/>
          <w:sz w:val="28"/>
          <w:szCs w:val="28"/>
          <w:highlight w:val="none"/>
          <w:u w:val="single"/>
          <w:lang w:val="en-US" w:eastAsia="zh-CN"/>
        </w:rPr>
        <w:t xml:space="preserve">     包含       ；</w:t>
      </w:r>
    </w:p>
    <w:p w14:paraId="7F9391C1">
      <w:pPr>
        <w:numPr>
          <w:ilvl w:val="0"/>
          <w:numId w:val="22"/>
        </w:numPr>
        <w:bidi w:val="0"/>
        <w:ind w:left="0" w:leftChars="0" w:firstLine="420" w:firstLineChars="0"/>
        <w:rPr>
          <w:rFonts w:hint="default"/>
          <w:sz w:val="28"/>
          <w:szCs w:val="28"/>
          <w:highlight w:val="none"/>
          <w:u w:val="single"/>
          <w:lang w:val="en-US" w:eastAsia="zh-CN"/>
        </w:rPr>
      </w:pPr>
      <w:r>
        <w:rPr>
          <w:rFonts w:hint="eastAsia"/>
          <w:sz w:val="28"/>
          <w:szCs w:val="28"/>
          <w:highlight w:val="none"/>
          <w:u w:val="none"/>
          <w:lang w:val="en-US" w:eastAsia="zh-CN"/>
        </w:rPr>
        <w:t>其他：</w:t>
      </w:r>
      <w:r>
        <w:rPr>
          <w:rFonts w:hint="eastAsia"/>
          <w:sz w:val="28"/>
          <w:szCs w:val="28"/>
          <w:highlight w:val="none"/>
          <w:u w:val="single"/>
          <w:lang w:val="en-US" w:eastAsia="zh-CN"/>
        </w:rPr>
        <w:t xml:space="preserve">     概要设计说明书、详细设计说明书、使用手册、测试文档、系统原始代码     ；</w:t>
      </w:r>
    </w:p>
    <w:p w14:paraId="02A5BD80">
      <w:pPr>
        <w:numPr>
          <w:ilvl w:val="0"/>
          <w:numId w:val="0"/>
        </w:numPr>
        <w:bidi w:val="0"/>
        <w:rPr>
          <w:rFonts w:hint="eastAsia"/>
          <w:sz w:val="28"/>
          <w:szCs w:val="28"/>
          <w:highlight w:val="none"/>
          <w:u w:val="none"/>
          <w:lang w:val="en-US" w:eastAsia="zh-CN"/>
        </w:rPr>
      </w:pPr>
      <w:r>
        <w:rPr>
          <w:rFonts w:hint="eastAsia"/>
          <w:b/>
          <w:bCs/>
          <w:sz w:val="28"/>
          <w:szCs w:val="28"/>
          <w:highlight w:val="none"/>
          <w:u w:val="none"/>
          <w:lang w:val="en-US" w:eastAsia="zh-CN"/>
        </w:rPr>
        <w:t>第二十七条</w:t>
      </w:r>
      <w:r>
        <w:rPr>
          <w:rFonts w:hint="eastAsia"/>
          <w:sz w:val="28"/>
          <w:szCs w:val="28"/>
          <w:highlight w:val="none"/>
          <w:u w:val="none"/>
          <w:lang w:val="en-US" w:eastAsia="zh-CN"/>
        </w:rPr>
        <w:t xml:space="preserve">  双方约定本合同其他相关事项为：</w:t>
      </w:r>
      <w:r>
        <w:rPr>
          <w:rFonts w:hint="eastAsia"/>
          <w:sz w:val="28"/>
          <w:szCs w:val="28"/>
          <w:highlight w:val="none"/>
          <w:u w:val="single"/>
          <w:lang w:val="en-US" w:eastAsia="zh-CN"/>
        </w:rPr>
        <w:t xml:space="preserve">   无   </w:t>
      </w:r>
      <w:r>
        <w:rPr>
          <w:rFonts w:hint="eastAsia"/>
          <w:sz w:val="28"/>
          <w:szCs w:val="28"/>
          <w:highlight w:val="none"/>
          <w:u w:val="none"/>
          <w:lang w:val="en-US" w:eastAsia="zh-CN"/>
        </w:rPr>
        <w:t>。</w:t>
      </w:r>
    </w:p>
    <w:p w14:paraId="73D4A08E">
      <w:pPr>
        <w:numPr>
          <w:ilvl w:val="0"/>
          <w:numId w:val="0"/>
        </w:numPr>
        <w:bidi w:val="0"/>
        <w:rPr>
          <w:rFonts w:hint="eastAsia"/>
          <w:sz w:val="28"/>
          <w:szCs w:val="28"/>
          <w:highlight w:val="none"/>
          <w:u w:val="none"/>
          <w:lang w:val="en-US" w:eastAsia="zh-CN"/>
        </w:rPr>
      </w:pPr>
      <w:r>
        <w:rPr>
          <w:rFonts w:hint="eastAsia"/>
          <w:b/>
          <w:bCs/>
          <w:sz w:val="28"/>
          <w:szCs w:val="28"/>
          <w:highlight w:val="none"/>
          <w:u w:val="none"/>
          <w:lang w:val="en-US" w:eastAsia="zh-CN"/>
        </w:rPr>
        <w:t>第二十八条</w:t>
      </w:r>
      <w:r>
        <w:rPr>
          <w:rFonts w:hint="eastAsia"/>
          <w:sz w:val="28"/>
          <w:szCs w:val="28"/>
          <w:highlight w:val="none"/>
          <w:u w:val="none"/>
          <w:lang w:val="en-US" w:eastAsia="zh-CN"/>
        </w:rPr>
        <w:t xml:space="preserve">  本合同一式 </w:t>
      </w:r>
      <w:r>
        <w:rPr>
          <w:rFonts w:hint="eastAsia"/>
          <w:sz w:val="28"/>
          <w:szCs w:val="28"/>
          <w:highlight w:val="none"/>
          <w:u w:val="single"/>
          <w:lang w:val="en-US" w:eastAsia="zh-CN"/>
        </w:rPr>
        <w:t xml:space="preserve">  肆  </w:t>
      </w:r>
      <w:r>
        <w:rPr>
          <w:rFonts w:hint="eastAsia"/>
          <w:sz w:val="28"/>
          <w:szCs w:val="28"/>
          <w:highlight w:val="none"/>
          <w:u w:val="none"/>
          <w:lang w:val="en-US" w:eastAsia="zh-CN"/>
        </w:rPr>
        <w:t>份，具有同等法律效力。</w:t>
      </w:r>
    </w:p>
    <w:p w14:paraId="6C0C2C87">
      <w:pPr>
        <w:numPr>
          <w:ilvl w:val="0"/>
          <w:numId w:val="0"/>
        </w:numPr>
        <w:bidi w:val="0"/>
        <w:rPr>
          <w:rFonts w:hint="eastAsia"/>
          <w:sz w:val="28"/>
          <w:szCs w:val="28"/>
          <w:highlight w:val="none"/>
          <w:u w:val="none"/>
          <w:lang w:val="en-US" w:eastAsia="zh-CN"/>
        </w:rPr>
        <w:sectPr>
          <w:pgSz w:w="11906" w:h="16838"/>
          <w:pgMar w:top="1440" w:right="1800" w:bottom="1440" w:left="1800" w:header="851" w:footer="992" w:gutter="0"/>
          <w:cols w:space="425" w:num="1"/>
          <w:docGrid w:type="lines" w:linePitch="312" w:charSpace="0"/>
        </w:sectPr>
      </w:pPr>
      <w:r>
        <w:rPr>
          <w:rFonts w:hint="eastAsia"/>
          <w:b/>
          <w:bCs/>
          <w:sz w:val="28"/>
          <w:szCs w:val="28"/>
          <w:highlight w:val="none"/>
          <w:u w:val="none"/>
          <w:lang w:val="en-US" w:eastAsia="zh-CN"/>
        </w:rPr>
        <w:t>第二十九条</w:t>
      </w:r>
      <w:r>
        <w:rPr>
          <w:rFonts w:hint="eastAsia"/>
          <w:sz w:val="28"/>
          <w:szCs w:val="28"/>
          <w:highlight w:val="none"/>
          <w:u w:val="none"/>
          <w:lang w:val="en-US" w:eastAsia="zh-CN"/>
        </w:rPr>
        <w:t xml:space="preserve">  本合同经双方签字盖章后生效。</w:t>
      </w:r>
    </w:p>
    <w:p w14:paraId="722E6BAA">
      <w:pPr>
        <w:numPr>
          <w:ilvl w:val="0"/>
          <w:numId w:val="0"/>
        </w:numPr>
        <w:bidi w:val="0"/>
        <w:rPr>
          <w:rFonts w:hint="eastAsia"/>
          <w:sz w:val="28"/>
          <w:szCs w:val="28"/>
          <w:highlight w:val="none"/>
          <w:u w:val="none"/>
          <w:lang w:val="en-US" w:eastAsia="zh-CN"/>
        </w:rPr>
      </w:pPr>
      <w:r>
        <w:rPr>
          <w:rFonts w:hint="eastAsia"/>
          <w:sz w:val="28"/>
          <w:szCs w:val="28"/>
          <w:highlight w:val="none"/>
          <w:u w:val="none"/>
          <w:lang w:val="en-US" w:eastAsia="zh-CN"/>
        </w:rPr>
        <w:t>甲方：</w:t>
      </w:r>
      <w:r>
        <w:rPr>
          <w:rFonts w:hint="eastAsia"/>
          <w:sz w:val="28"/>
          <w:szCs w:val="28"/>
          <w:highlight w:val="none"/>
          <w:u w:val="single"/>
          <w:lang w:val="en-US" w:eastAsia="zh-CN"/>
        </w:rPr>
        <w:t xml:space="preserve">  河南产业互联网联合发展有限公司   </w:t>
      </w:r>
      <w:r>
        <w:rPr>
          <w:rFonts w:hint="eastAsia"/>
          <w:sz w:val="28"/>
          <w:szCs w:val="28"/>
          <w:highlight w:val="none"/>
          <w:u w:val="none"/>
          <w:lang w:val="en-US" w:eastAsia="zh-CN"/>
        </w:rPr>
        <w:t>（盖章）</w:t>
      </w:r>
    </w:p>
    <w:p w14:paraId="18E6F6C2">
      <w:pPr>
        <w:numPr>
          <w:ilvl w:val="0"/>
          <w:numId w:val="0"/>
        </w:numPr>
        <w:bidi w:val="0"/>
        <w:ind w:left="420" w:leftChars="0" w:firstLine="420" w:firstLineChars="0"/>
        <w:rPr>
          <w:rFonts w:hint="eastAsia"/>
          <w:sz w:val="28"/>
          <w:szCs w:val="28"/>
          <w:highlight w:val="none"/>
          <w:u w:val="none"/>
          <w:lang w:val="en-US" w:eastAsia="zh-CN"/>
        </w:rPr>
      </w:pPr>
      <w:r>
        <w:rPr>
          <w:rFonts w:hint="eastAsia"/>
          <w:sz w:val="28"/>
          <w:szCs w:val="28"/>
          <w:highlight w:val="none"/>
          <w:u w:val="none"/>
          <w:lang w:val="en-US" w:eastAsia="zh-CN"/>
        </w:rPr>
        <w:t>法定代表人/委托代理人：</w:t>
      </w:r>
      <w:r>
        <w:rPr>
          <w:rFonts w:hint="eastAsia"/>
          <w:sz w:val="28"/>
          <w:szCs w:val="28"/>
          <w:highlight w:val="none"/>
          <w:u w:val="single"/>
          <w:lang w:val="en-US" w:eastAsia="zh-CN"/>
        </w:rPr>
        <w:t xml:space="preserve">                 </w:t>
      </w:r>
      <w:r>
        <w:rPr>
          <w:rFonts w:hint="eastAsia"/>
          <w:sz w:val="28"/>
          <w:szCs w:val="28"/>
          <w:highlight w:val="none"/>
          <w:u w:val="none"/>
          <w:lang w:val="en-US" w:eastAsia="zh-CN"/>
        </w:rPr>
        <w:t>（签名）</w:t>
      </w:r>
    </w:p>
    <w:p w14:paraId="6C23427B">
      <w:pPr>
        <w:numPr>
          <w:ilvl w:val="0"/>
          <w:numId w:val="0"/>
        </w:numPr>
        <w:bidi w:val="0"/>
        <w:ind w:left="5460" w:leftChars="0" w:firstLine="420" w:firstLineChars="0"/>
        <w:rPr>
          <w:rFonts w:hint="eastAsia"/>
          <w:sz w:val="28"/>
          <w:szCs w:val="28"/>
          <w:highlight w:val="none"/>
          <w:u w:val="none"/>
          <w:lang w:val="en-US" w:eastAsia="zh-CN"/>
        </w:rPr>
      </w:pPr>
      <w:r>
        <w:rPr>
          <w:rFonts w:hint="eastAsia"/>
          <w:sz w:val="28"/>
          <w:szCs w:val="28"/>
          <w:highlight w:val="none"/>
          <w:u w:val="none"/>
          <w:lang w:val="en-US" w:eastAsia="zh-CN"/>
        </w:rPr>
        <w:t>年   月   日</w:t>
      </w:r>
    </w:p>
    <w:p w14:paraId="4A009B7F">
      <w:pPr>
        <w:numPr>
          <w:ilvl w:val="0"/>
          <w:numId w:val="0"/>
        </w:numPr>
        <w:bidi w:val="0"/>
        <w:rPr>
          <w:rFonts w:hint="eastAsia"/>
          <w:sz w:val="28"/>
          <w:szCs w:val="28"/>
          <w:highlight w:val="none"/>
          <w:u w:val="none"/>
          <w:lang w:val="en-US" w:eastAsia="zh-CN"/>
        </w:rPr>
      </w:pPr>
    </w:p>
    <w:p w14:paraId="01681FD1">
      <w:pPr>
        <w:numPr>
          <w:ilvl w:val="0"/>
          <w:numId w:val="0"/>
        </w:numPr>
        <w:bidi w:val="0"/>
        <w:rPr>
          <w:rFonts w:hint="eastAsia"/>
          <w:sz w:val="28"/>
          <w:szCs w:val="28"/>
          <w:highlight w:val="none"/>
          <w:u w:val="none"/>
          <w:lang w:val="en-US" w:eastAsia="zh-CN"/>
        </w:rPr>
      </w:pPr>
    </w:p>
    <w:p w14:paraId="3FD35FB0">
      <w:pPr>
        <w:numPr>
          <w:ilvl w:val="0"/>
          <w:numId w:val="0"/>
        </w:numPr>
        <w:bidi w:val="0"/>
        <w:rPr>
          <w:rFonts w:hint="eastAsia"/>
          <w:sz w:val="28"/>
          <w:szCs w:val="28"/>
          <w:highlight w:val="none"/>
          <w:u w:val="none"/>
          <w:lang w:val="en-US" w:eastAsia="zh-CN"/>
        </w:rPr>
      </w:pPr>
      <w:r>
        <w:rPr>
          <w:rFonts w:hint="eastAsia"/>
          <w:sz w:val="28"/>
          <w:szCs w:val="28"/>
          <w:highlight w:val="none"/>
          <w:u w:val="none"/>
          <w:lang w:val="en-US" w:eastAsia="zh-CN"/>
        </w:rPr>
        <w:t>乙方：</w:t>
      </w:r>
      <w:r>
        <w:rPr>
          <w:rFonts w:hint="eastAsia"/>
          <w:sz w:val="28"/>
          <w:szCs w:val="28"/>
          <w:highlight w:val="none"/>
          <w:u w:val="single"/>
          <w:lang w:val="en-US" w:eastAsia="zh-CN"/>
        </w:rPr>
        <w:t xml:space="preserve">                                    </w:t>
      </w:r>
      <w:r>
        <w:rPr>
          <w:rFonts w:hint="eastAsia"/>
          <w:sz w:val="28"/>
          <w:szCs w:val="28"/>
          <w:highlight w:val="none"/>
          <w:u w:val="none"/>
          <w:lang w:val="en-US" w:eastAsia="zh-CN"/>
        </w:rPr>
        <w:t>（盖章）</w:t>
      </w:r>
    </w:p>
    <w:p w14:paraId="12AD6D6B">
      <w:pPr>
        <w:numPr>
          <w:ilvl w:val="0"/>
          <w:numId w:val="0"/>
        </w:numPr>
        <w:bidi w:val="0"/>
        <w:ind w:left="420" w:leftChars="0" w:firstLine="420" w:firstLineChars="0"/>
        <w:rPr>
          <w:rFonts w:hint="eastAsia"/>
          <w:sz w:val="28"/>
          <w:szCs w:val="28"/>
          <w:highlight w:val="none"/>
          <w:u w:val="none"/>
          <w:lang w:val="en-US" w:eastAsia="zh-CN"/>
        </w:rPr>
      </w:pPr>
      <w:r>
        <w:rPr>
          <w:rFonts w:hint="eastAsia"/>
          <w:sz w:val="28"/>
          <w:szCs w:val="28"/>
          <w:highlight w:val="none"/>
          <w:u w:val="none"/>
          <w:lang w:val="en-US" w:eastAsia="zh-CN"/>
        </w:rPr>
        <w:t>法定代表人/委托代理人：</w:t>
      </w:r>
      <w:r>
        <w:rPr>
          <w:rFonts w:hint="eastAsia"/>
          <w:sz w:val="28"/>
          <w:szCs w:val="28"/>
          <w:highlight w:val="none"/>
          <w:u w:val="single"/>
          <w:lang w:val="en-US" w:eastAsia="zh-CN"/>
        </w:rPr>
        <w:t xml:space="preserve">                 </w:t>
      </w:r>
      <w:r>
        <w:rPr>
          <w:rFonts w:hint="eastAsia"/>
          <w:sz w:val="28"/>
          <w:szCs w:val="28"/>
          <w:highlight w:val="none"/>
          <w:u w:val="none"/>
          <w:lang w:val="en-US" w:eastAsia="zh-CN"/>
        </w:rPr>
        <w:t>（签名）</w:t>
      </w:r>
    </w:p>
    <w:p w14:paraId="0409668C">
      <w:pPr>
        <w:numPr>
          <w:ilvl w:val="0"/>
          <w:numId w:val="0"/>
        </w:numPr>
        <w:bidi w:val="0"/>
        <w:ind w:left="5460" w:leftChars="0" w:firstLine="420" w:firstLineChars="0"/>
        <w:rPr>
          <w:rFonts w:hint="eastAsia"/>
          <w:sz w:val="28"/>
          <w:szCs w:val="28"/>
          <w:highlight w:val="none"/>
          <w:u w:val="none"/>
          <w:lang w:val="en-US" w:eastAsia="zh-CN"/>
        </w:rPr>
      </w:pPr>
      <w:r>
        <w:rPr>
          <w:rFonts w:hint="eastAsia"/>
          <w:sz w:val="28"/>
          <w:szCs w:val="28"/>
          <w:highlight w:val="none"/>
          <w:u w:val="none"/>
          <w:lang w:val="en-US" w:eastAsia="zh-CN"/>
        </w:rPr>
        <w:t>年   月   日</w:t>
      </w:r>
    </w:p>
    <w:p w14:paraId="5CE8D689">
      <w:pPr>
        <w:numPr>
          <w:ilvl w:val="0"/>
          <w:numId w:val="0"/>
        </w:numPr>
        <w:bidi w:val="0"/>
        <w:rPr>
          <w:rFonts w:hint="default"/>
          <w:sz w:val="28"/>
          <w:szCs w:val="28"/>
          <w:highlight w:val="none"/>
          <w:u w:val="none"/>
          <w:lang w:val="en-US" w:eastAsia="zh-CN"/>
        </w:rPr>
        <w:sectPr>
          <w:pgSz w:w="11906" w:h="16838"/>
          <w:pgMar w:top="1440" w:right="1800" w:bottom="1440" w:left="1800" w:header="851" w:footer="992" w:gutter="0"/>
          <w:cols w:space="425" w:num="1"/>
          <w:docGrid w:type="lines" w:linePitch="312" w:charSpace="0"/>
        </w:sectPr>
      </w:pPr>
    </w:p>
    <w:p w14:paraId="5D9A6BAA">
      <w:pPr>
        <w:spacing w:line="560" w:lineRule="exact"/>
        <w:ind w:right="-153" w:rightChars="-73"/>
        <w:jc w:val="center"/>
        <w:rPr>
          <w:rFonts w:hint="eastAsia" w:ascii="宋体" w:hAnsi="宋体" w:cs="宋体"/>
          <w:b/>
          <w:sz w:val="52"/>
          <w:szCs w:val="48"/>
          <w:highlight w:val="none"/>
        </w:rPr>
      </w:pPr>
    </w:p>
    <w:p w14:paraId="07D7E90A">
      <w:pPr>
        <w:pStyle w:val="32"/>
        <w:rPr>
          <w:rFonts w:hint="eastAsia" w:ascii="宋体" w:hAnsi="宋体" w:cs="宋体"/>
          <w:b/>
          <w:sz w:val="52"/>
          <w:szCs w:val="48"/>
          <w:highlight w:val="none"/>
        </w:rPr>
      </w:pPr>
    </w:p>
    <w:p w14:paraId="0113D7BD">
      <w:pPr>
        <w:pStyle w:val="31"/>
        <w:ind w:firstLine="522"/>
        <w:rPr>
          <w:rFonts w:hint="eastAsia" w:ascii="宋体" w:hAnsi="宋体" w:cs="宋体"/>
          <w:b/>
          <w:sz w:val="52"/>
          <w:szCs w:val="48"/>
          <w:highlight w:val="none"/>
        </w:rPr>
      </w:pPr>
    </w:p>
    <w:p w14:paraId="71481C7D">
      <w:pPr>
        <w:rPr>
          <w:rFonts w:hint="eastAsia" w:ascii="宋体" w:hAnsi="宋体" w:cs="宋体"/>
          <w:b/>
          <w:sz w:val="52"/>
          <w:szCs w:val="48"/>
          <w:highlight w:val="none"/>
        </w:rPr>
      </w:pPr>
    </w:p>
    <w:p w14:paraId="7679D567">
      <w:pPr>
        <w:pStyle w:val="32"/>
        <w:rPr>
          <w:rFonts w:hint="eastAsia" w:ascii="宋体" w:hAnsi="宋体" w:cs="宋体"/>
          <w:b/>
          <w:sz w:val="52"/>
          <w:szCs w:val="48"/>
          <w:highlight w:val="none"/>
        </w:rPr>
      </w:pPr>
    </w:p>
    <w:p w14:paraId="3AFCCEAC">
      <w:pPr>
        <w:pStyle w:val="31"/>
        <w:ind w:firstLine="320"/>
        <w:rPr>
          <w:highlight w:val="none"/>
        </w:rPr>
      </w:pPr>
    </w:p>
    <w:p w14:paraId="0F9178E0">
      <w:pPr>
        <w:pStyle w:val="31"/>
        <w:ind w:firstLine="320"/>
        <w:rPr>
          <w:highlight w:val="none"/>
        </w:rPr>
      </w:pPr>
    </w:p>
    <w:p w14:paraId="5AD6DB6D">
      <w:pPr>
        <w:spacing w:line="560" w:lineRule="exact"/>
        <w:ind w:right="-153" w:rightChars="-73"/>
        <w:jc w:val="center"/>
        <w:outlineLvl w:val="0"/>
        <w:rPr>
          <w:rFonts w:hint="eastAsia" w:ascii="宋体" w:hAnsi="宋体" w:cs="宋体"/>
          <w:b/>
          <w:sz w:val="52"/>
          <w:szCs w:val="48"/>
          <w:highlight w:val="none"/>
        </w:rPr>
      </w:pPr>
      <w:bookmarkStart w:id="419" w:name="_Toc20014"/>
      <w:r>
        <w:rPr>
          <w:rFonts w:hint="eastAsia" w:ascii="宋体" w:hAnsi="宋体" w:cs="宋体"/>
          <w:b/>
          <w:sz w:val="52"/>
          <w:szCs w:val="48"/>
          <w:highlight w:val="none"/>
        </w:rPr>
        <w:t>第五章 采购需求</w:t>
      </w:r>
      <w:bookmarkEnd w:id="419"/>
    </w:p>
    <w:p w14:paraId="7FACCB52">
      <w:pPr>
        <w:pStyle w:val="87"/>
        <w:spacing w:line="589" w:lineRule="exact"/>
        <w:ind w:right="175"/>
        <w:jc w:val="center"/>
        <w:outlineLvl w:val="9"/>
        <w:rPr>
          <w:rFonts w:hint="eastAsia" w:ascii="宋体" w:hAnsi="宋体" w:eastAsia="宋体" w:cs="宋体"/>
          <w:sz w:val="32"/>
          <w:szCs w:val="32"/>
          <w:highlight w:val="none"/>
        </w:rPr>
      </w:pPr>
    </w:p>
    <w:p w14:paraId="23010A1E">
      <w:pPr>
        <w:pStyle w:val="87"/>
        <w:spacing w:line="589" w:lineRule="exact"/>
        <w:ind w:right="175"/>
        <w:jc w:val="center"/>
        <w:outlineLvl w:val="9"/>
        <w:rPr>
          <w:rFonts w:hint="eastAsia" w:ascii="宋体" w:hAnsi="宋体" w:eastAsia="宋体" w:cs="宋体"/>
          <w:sz w:val="32"/>
          <w:szCs w:val="32"/>
          <w:highlight w:val="none"/>
        </w:rPr>
      </w:pPr>
    </w:p>
    <w:p w14:paraId="79EDE827">
      <w:pPr>
        <w:pStyle w:val="87"/>
        <w:spacing w:line="589" w:lineRule="exact"/>
        <w:ind w:right="175"/>
        <w:jc w:val="center"/>
        <w:outlineLvl w:val="9"/>
        <w:rPr>
          <w:rFonts w:hint="eastAsia" w:ascii="宋体" w:hAnsi="宋体" w:eastAsia="宋体" w:cs="宋体"/>
          <w:sz w:val="32"/>
          <w:szCs w:val="32"/>
          <w:highlight w:val="none"/>
        </w:rPr>
      </w:pPr>
    </w:p>
    <w:p w14:paraId="36F01668">
      <w:pPr>
        <w:pStyle w:val="87"/>
        <w:spacing w:line="589" w:lineRule="exact"/>
        <w:ind w:right="175"/>
        <w:jc w:val="center"/>
        <w:outlineLvl w:val="9"/>
        <w:rPr>
          <w:rFonts w:hint="eastAsia" w:ascii="宋体" w:hAnsi="宋体" w:eastAsia="宋体" w:cs="宋体"/>
          <w:sz w:val="32"/>
          <w:szCs w:val="32"/>
          <w:highlight w:val="none"/>
        </w:rPr>
      </w:pPr>
    </w:p>
    <w:p w14:paraId="33985F89">
      <w:pPr>
        <w:pStyle w:val="87"/>
        <w:spacing w:line="589" w:lineRule="exact"/>
        <w:ind w:right="175"/>
        <w:jc w:val="center"/>
        <w:outlineLvl w:val="9"/>
        <w:rPr>
          <w:rFonts w:hint="eastAsia" w:ascii="宋体" w:hAnsi="宋体" w:eastAsia="宋体" w:cs="宋体"/>
          <w:sz w:val="32"/>
          <w:szCs w:val="32"/>
          <w:highlight w:val="none"/>
        </w:rPr>
      </w:pPr>
    </w:p>
    <w:p w14:paraId="7795D6BE">
      <w:pPr>
        <w:pStyle w:val="87"/>
        <w:spacing w:line="589" w:lineRule="exact"/>
        <w:ind w:right="175"/>
        <w:jc w:val="center"/>
        <w:outlineLvl w:val="9"/>
        <w:rPr>
          <w:rFonts w:hint="eastAsia" w:ascii="宋体" w:hAnsi="宋体" w:eastAsia="宋体" w:cs="宋体"/>
          <w:sz w:val="32"/>
          <w:szCs w:val="32"/>
          <w:highlight w:val="none"/>
        </w:rPr>
      </w:pPr>
    </w:p>
    <w:p w14:paraId="4A5C3E45">
      <w:pPr>
        <w:pStyle w:val="87"/>
        <w:spacing w:line="589" w:lineRule="exact"/>
        <w:ind w:right="175"/>
        <w:jc w:val="center"/>
        <w:outlineLvl w:val="9"/>
        <w:rPr>
          <w:rFonts w:hint="eastAsia" w:ascii="宋体" w:hAnsi="宋体" w:eastAsia="宋体" w:cs="宋体"/>
          <w:sz w:val="32"/>
          <w:szCs w:val="32"/>
          <w:highlight w:val="none"/>
        </w:rPr>
      </w:pPr>
    </w:p>
    <w:p w14:paraId="4FCDB1A9">
      <w:pPr>
        <w:pStyle w:val="87"/>
        <w:spacing w:line="589" w:lineRule="exact"/>
        <w:ind w:right="175"/>
        <w:jc w:val="center"/>
        <w:outlineLvl w:val="9"/>
        <w:rPr>
          <w:rFonts w:hint="eastAsia" w:ascii="宋体" w:hAnsi="宋体" w:eastAsia="宋体" w:cs="宋体"/>
          <w:sz w:val="32"/>
          <w:szCs w:val="32"/>
          <w:highlight w:val="none"/>
        </w:rPr>
      </w:pPr>
    </w:p>
    <w:p w14:paraId="21257D02">
      <w:pPr>
        <w:pStyle w:val="87"/>
        <w:spacing w:line="589" w:lineRule="exact"/>
        <w:ind w:right="175"/>
        <w:jc w:val="center"/>
        <w:outlineLvl w:val="9"/>
        <w:rPr>
          <w:rFonts w:hint="eastAsia" w:ascii="宋体" w:hAnsi="宋体" w:eastAsia="宋体" w:cs="宋体"/>
          <w:sz w:val="32"/>
          <w:szCs w:val="32"/>
          <w:highlight w:val="none"/>
        </w:rPr>
      </w:pPr>
    </w:p>
    <w:p w14:paraId="36397CAF">
      <w:pPr>
        <w:pStyle w:val="87"/>
        <w:spacing w:line="589" w:lineRule="exact"/>
        <w:ind w:right="175"/>
        <w:jc w:val="center"/>
        <w:outlineLvl w:val="9"/>
        <w:rPr>
          <w:rFonts w:hint="eastAsia" w:ascii="宋体" w:hAnsi="宋体" w:eastAsia="宋体" w:cs="宋体"/>
          <w:sz w:val="32"/>
          <w:szCs w:val="32"/>
          <w:highlight w:val="none"/>
        </w:rPr>
      </w:pPr>
    </w:p>
    <w:p w14:paraId="56711FF0">
      <w:pPr>
        <w:pStyle w:val="87"/>
        <w:spacing w:line="589" w:lineRule="exact"/>
        <w:ind w:right="175"/>
        <w:jc w:val="center"/>
        <w:outlineLvl w:val="9"/>
        <w:rPr>
          <w:rFonts w:hint="eastAsia" w:ascii="宋体" w:hAnsi="宋体" w:eastAsia="宋体" w:cs="宋体"/>
          <w:sz w:val="32"/>
          <w:szCs w:val="32"/>
          <w:highlight w:val="none"/>
        </w:rPr>
      </w:pPr>
    </w:p>
    <w:p w14:paraId="4CE31646">
      <w:pPr>
        <w:pStyle w:val="87"/>
        <w:spacing w:line="589" w:lineRule="exact"/>
        <w:ind w:right="175"/>
        <w:jc w:val="center"/>
        <w:outlineLvl w:val="9"/>
        <w:rPr>
          <w:rFonts w:hint="eastAsia" w:ascii="宋体" w:hAnsi="宋体" w:eastAsia="宋体" w:cs="宋体"/>
          <w:sz w:val="32"/>
          <w:szCs w:val="32"/>
          <w:highlight w:val="none"/>
        </w:rPr>
      </w:pPr>
    </w:p>
    <w:p w14:paraId="3EDA5E56">
      <w:pPr>
        <w:spacing w:line="560" w:lineRule="exact"/>
        <w:ind w:right="-153" w:rightChars="-73"/>
        <w:jc w:val="center"/>
        <w:rPr>
          <w:rFonts w:hint="eastAsia" w:ascii="宋体" w:hAnsi="宋体" w:cs="宋体"/>
          <w:b/>
          <w:sz w:val="32"/>
          <w:szCs w:val="32"/>
          <w:highlight w:val="none"/>
        </w:rPr>
      </w:pPr>
      <w:r>
        <w:rPr>
          <w:rFonts w:hint="eastAsia" w:ascii="宋体" w:hAnsi="宋体" w:cs="宋体"/>
          <w:b/>
          <w:sz w:val="32"/>
          <w:szCs w:val="32"/>
          <w:highlight w:val="none"/>
        </w:rPr>
        <w:t>采购需求</w:t>
      </w:r>
    </w:p>
    <w:p w14:paraId="77E6F92B">
      <w:pPr>
        <w:pStyle w:val="17"/>
        <w:rPr>
          <w:rFonts w:hint="eastAsia" w:hAnsi="宋体" w:cs="宋体"/>
          <w:b/>
          <w:sz w:val="52"/>
          <w:szCs w:val="48"/>
          <w:highlight w:val="none"/>
        </w:rPr>
      </w:pPr>
    </w:p>
    <w:p w14:paraId="31A3331F">
      <w:pPr>
        <w:pStyle w:val="18"/>
        <w:rPr>
          <w:rFonts w:hint="eastAsia" w:hAnsi="宋体" w:cs="宋体"/>
          <w:b/>
          <w:sz w:val="52"/>
          <w:szCs w:val="48"/>
          <w:highlight w:val="none"/>
        </w:rPr>
      </w:pPr>
    </w:p>
    <w:p w14:paraId="5FA35306">
      <w:pPr>
        <w:pStyle w:val="3"/>
        <w:numPr>
          <w:ilvl w:val="0"/>
          <w:numId w:val="23"/>
        </w:numPr>
        <w:rPr>
          <w:rFonts w:hint="eastAsia" w:ascii="宋体" w:hAnsi="宋体" w:eastAsia="宋体" w:cs="宋体"/>
          <w:sz w:val="24"/>
          <w:szCs w:val="24"/>
          <w:highlight w:val="none"/>
          <w:lang w:val="en-US"/>
        </w:rPr>
      </w:pPr>
      <w:bookmarkStart w:id="420" w:name="_Toc51190639"/>
      <w:bookmarkStart w:id="421" w:name="_Toc59873922"/>
      <w:bookmarkStart w:id="422" w:name="_Toc5050"/>
      <w:r>
        <w:rPr>
          <w:rFonts w:hint="eastAsia" w:ascii="宋体" w:hAnsi="宋体" w:eastAsia="宋体" w:cs="宋体"/>
          <w:sz w:val="24"/>
          <w:szCs w:val="24"/>
          <w:highlight w:val="none"/>
          <w:lang w:val="en-US"/>
        </w:rPr>
        <w:t>项目概况</w:t>
      </w:r>
    </w:p>
    <w:p w14:paraId="76C33449">
      <w:pPr>
        <w:pStyle w:val="4"/>
        <w:numPr>
          <w:ilvl w:val="0"/>
          <w:numId w:val="24"/>
        </w:numPr>
        <w:ind w:left="645" w:right="22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项目背景</w:t>
      </w:r>
    </w:p>
    <w:p w14:paraId="49BD7BB2">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近年来，国家高度重视制造业数字化转型，党的二十大报告明确提出“加快建设制造强国、质量强国、航天强国、交通强国、网络强国、数字中国”，将制造业数字化转型作为重要战略任务。河南省紧跟国家部署，先后出台《河南省制造业数字化转型实施方案（2023-2025年）》等政策文件，明确要求推动中小企业数字化转型，建立分级分类转型标准，支持培育适配中小企业需求的数字化解决方案和服务平台，鼓励企业“上云、用数、赋智”，实现生产运营全流程数字化升级。</w:t>
      </w:r>
    </w:p>
    <w:p w14:paraId="17185731">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河南省作为制造业大省，中小企业数量众多，涵盖装备制造、汽车零部件、电子信息、轻工纺织等多个离散制造领域。当前，多数中小企业面临数字化基础薄弱、转型资金有限、专业人才匮乏等问题，普遍存在“信息孤岛”现象，产销协同、供应链协同效率低下，难以满足日益严格的转型合规要求。</w:t>
      </w:r>
    </w:p>
    <w:p w14:paraId="0986694A">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现有数字化解决方案要么针对性不强，无法适配中小企业灵活多样的业务需求；要么成本过高，超出中小企业承受能力。尤其是在二级转型场景中，缺乏能够覆盖离散制造全流程、实现多系统无缝对接的标准化产品，导致部分企业转型陷入“两难”境地。市场迫切需要一款低成本、高适配、可复制的数字化运营平台，助力中小企业快速完成数字化转型，提升市场竞争力。</w:t>
      </w:r>
    </w:p>
    <w:p w14:paraId="28746B23">
      <w:pPr>
        <w:pStyle w:val="4"/>
        <w:numPr>
          <w:ilvl w:val="0"/>
          <w:numId w:val="24"/>
        </w:numPr>
        <w:ind w:left="645" w:right="22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建设目标</w:t>
      </w:r>
    </w:p>
    <w:p w14:paraId="2FF458EB">
      <w:pPr>
        <w:pStyle w:val="5"/>
        <w:numPr>
          <w:ilvl w:val="3"/>
          <w:numId w:val="0"/>
        </w:numPr>
        <w:ind w:right="220" w:rightChars="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2.1 打造符合标准的数字化解决方案</w:t>
      </w:r>
    </w:p>
    <w:p w14:paraId="40E75A27">
      <w:pPr>
        <w:ind w:firstLine="480" w:firstLineChars="20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对标中小企业数字化转型三级及以上标准，在二级场景基础上构建覆盖制造企业OTD（订单到交付）端到端全流程的数字化运营平台，形成标准化、可复制的产品包，满足河南省制造业企业数字化转型的合规性要求。</w:t>
      </w:r>
    </w:p>
    <w:p w14:paraId="3DDCB935">
      <w:pPr>
        <w:pStyle w:val="5"/>
        <w:numPr>
          <w:ilvl w:val="3"/>
          <w:numId w:val="0"/>
        </w:numPr>
        <w:tabs>
          <w:tab w:val="left" w:pos="375"/>
        </w:tabs>
        <w:ind w:left="-644" w:leftChars="0" w:right="220" w:rightChars="0" w:firstLine="482" w:firstLineChars="20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2.2 实现全流程数字化集成与协同</w:t>
      </w:r>
    </w:p>
    <w:p w14:paraId="03286766">
      <w:pPr>
        <w:ind w:firstLine="480" w:firstLineChars="20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聚焦离散制造企业从订单接收至产品交付的全流程（S0~S9），实现业务流程建模标准化、产销/制造/供应协同、采购/生产/执行、质量管理等核心环节的数字化集成，解决企业“信息孤岛”问题，提升全流程业务协同效率。</w:t>
      </w:r>
    </w:p>
    <w:p w14:paraId="0A15A05F">
      <w:pPr>
        <w:pStyle w:val="5"/>
        <w:numPr>
          <w:ilvl w:val="3"/>
          <w:numId w:val="0"/>
        </w:numPr>
        <w:ind w:left="370" w:leftChars="-65" w:right="220" w:rightChars="0" w:hanging="506" w:hangingChars="21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2.3 构建数据驱动的管理体系</w:t>
      </w:r>
    </w:p>
    <w:p w14:paraId="272B2C0C">
      <w:pPr>
        <w:ind w:firstLine="480" w:firstLineChars="20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通过数据治理与数据中台建设，整合OTD全流程数据，结合KPI指标监控、异常管理及BI可视化工具，为企业提供实时运营洞察，支撑数据驱动的决策优化，同时为后续人工智能应用奠定数据基础。</w:t>
      </w:r>
    </w:p>
    <w:p w14:paraId="470FFA18">
      <w:pPr>
        <w:pStyle w:val="5"/>
        <w:numPr>
          <w:ilvl w:val="3"/>
          <w:numId w:val="0"/>
        </w:numPr>
        <w:ind w:left="406" w:leftChars="68" w:right="220" w:rightChars="0" w:hanging="263" w:hangingChars="109"/>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2.4 形成差异化服务能力</w:t>
      </w:r>
    </w:p>
    <w:p w14:paraId="126C0961">
      <w:pPr>
        <w:ind w:firstLine="480" w:firstLineChars="20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基于系统集成能力及AI能力，快速响应企业定制化需求（如业务断点连接、已有系统对接），打造“标准化产品+定制化服务+AI智能赋能”的模式，强化作为河南省制造业数字化服务商的市场竞争力。</w:t>
      </w:r>
    </w:p>
    <w:p w14:paraId="5C452474">
      <w:pPr>
        <w:pStyle w:val="5"/>
        <w:numPr>
          <w:ilvl w:val="3"/>
          <w:numId w:val="0"/>
        </w:numPr>
        <w:ind w:left="406" w:leftChars="68" w:right="220" w:rightChars="0" w:hanging="263" w:hangingChars="109"/>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2.5 构建企业“体检”体系</w:t>
      </w:r>
    </w:p>
    <w:p w14:paraId="4B88ECEA">
      <w:pPr>
        <w:ind w:firstLine="480" w:firstLineChars="20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通过企业数据采集与分析，生成运营情况分析报告，精准识别企业运营痛点、数字化水平及同行业竞争力，为企业转型决策提供依据。</w:t>
      </w:r>
    </w:p>
    <w:p w14:paraId="6197075D">
      <w:pPr>
        <w:pStyle w:val="3"/>
        <w:numPr>
          <w:ilvl w:val="0"/>
          <w:numId w:val="23"/>
        </w:numPr>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项目需求</w:t>
      </w:r>
    </w:p>
    <w:p w14:paraId="7185B19F">
      <w:pPr>
        <w:pStyle w:val="4"/>
        <w:numPr>
          <w:ilvl w:val="0"/>
          <w:numId w:val="25"/>
        </w:numPr>
        <w:ind w:left="220" w:right="220"/>
        <w:rPr>
          <w:rFonts w:hint="eastAsia" w:ascii="宋体" w:hAnsi="宋体" w:eastAsia="宋体" w:cs="宋体"/>
          <w:sz w:val="24"/>
          <w:szCs w:val="24"/>
          <w:highlight w:val="none"/>
        </w:rPr>
      </w:pPr>
      <w:r>
        <w:rPr>
          <w:rFonts w:hint="eastAsia" w:ascii="宋体" w:hAnsi="宋体" w:eastAsia="宋体" w:cs="宋体"/>
          <w:sz w:val="24"/>
          <w:szCs w:val="24"/>
          <w:highlight w:val="none"/>
        </w:rPr>
        <w:t>核心目标</w:t>
      </w:r>
    </w:p>
    <w:p w14:paraId="5F32B7EC">
      <w:pPr>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建立</w:t>
      </w:r>
      <w:r>
        <w:rPr>
          <w:rFonts w:hint="eastAsia" w:ascii="宋体" w:hAnsi="宋体" w:eastAsia="宋体" w:cs="宋体"/>
          <w:bCs/>
          <w:color w:val="000000"/>
          <w:sz w:val="24"/>
          <w:szCs w:val="24"/>
          <w:highlight w:val="none"/>
          <w:lang w:val="en-US"/>
        </w:rPr>
        <w:t>适配企业</w:t>
      </w:r>
      <w:r>
        <w:rPr>
          <w:rFonts w:hint="eastAsia" w:ascii="宋体" w:hAnsi="宋体" w:eastAsia="宋体" w:cs="宋体"/>
          <w:bCs/>
          <w:color w:val="000000"/>
          <w:sz w:val="24"/>
          <w:szCs w:val="24"/>
          <w:highlight w:val="none"/>
        </w:rPr>
        <w:t>业务流程规范和基础数据标准，为OTD全流程协同提供“数据基准”和“流程蓝图”，避免因数据不一致、流程不统一导致的业务断点。</w:t>
      </w:r>
    </w:p>
    <w:p w14:paraId="28F710F6">
      <w:pPr>
        <w:ind w:firstLine="480" w:firstLineChars="200"/>
        <w:rPr>
          <w:rFonts w:hint="eastAsia" w:ascii="宋体" w:hAnsi="宋体" w:eastAsia="宋体" w:cs="宋体"/>
          <w:bCs/>
          <w:color w:val="000000"/>
          <w:sz w:val="24"/>
          <w:szCs w:val="24"/>
          <w:highlight w:val="none"/>
          <w:lang w:val="en-US"/>
        </w:rPr>
      </w:pPr>
      <w:r>
        <w:rPr>
          <w:rFonts w:hint="eastAsia" w:ascii="宋体" w:hAnsi="宋体" w:eastAsia="宋体" w:cs="宋体"/>
          <w:bCs/>
          <w:color w:val="000000"/>
          <w:sz w:val="24"/>
          <w:szCs w:val="24"/>
          <w:highlight w:val="none"/>
          <w:lang w:val="en-US"/>
        </w:rPr>
        <w:t>构建从运营建模（S0）、产销协同平台（S1）、制造协同平台（S2）、供应协同平台（S3）、采购执行（S4）、物料仓储（S5）、生产执行（S6）、成品仓储（S7）、全流程异常监控（S8）到运营绩效指标测量（S9）全流程多维度企业运营管理平台。</w:t>
      </w:r>
    </w:p>
    <w:p w14:paraId="7EBD85E7">
      <w:pPr>
        <w:pStyle w:val="4"/>
        <w:numPr>
          <w:ilvl w:val="0"/>
          <w:numId w:val="25"/>
        </w:numPr>
        <w:ind w:left="220" w:right="220"/>
        <w:rPr>
          <w:rFonts w:hint="eastAsia" w:ascii="宋体" w:hAnsi="宋体" w:eastAsia="宋体" w:cs="宋体"/>
          <w:sz w:val="24"/>
          <w:szCs w:val="24"/>
          <w:highlight w:val="none"/>
        </w:rPr>
      </w:pPr>
      <w:r>
        <w:rPr>
          <w:rFonts w:hint="eastAsia" w:ascii="宋体" w:hAnsi="宋体" w:eastAsia="宋体" w:cs="宋体"/>
          <w:sz w:val="24"/>
          <w:szCs w:val="24"/>
          <w:highlight w:val="none"/>
        </w:rPr>
        <w:t>详细实施内容</w:t>
      </w:r>
    </w:p>
    <w:p w14:paraId="748C6959">
      <w:pPr>
        <w:pStyle w:val="5"/>
        <w:numPr>
          <w:ilvl w:val="3"/>
          <w:numId w:val="0"/>
        </w:numPr>
        <w:ind w:left="397" w:leftChars="-52" w:right="220" w:rightChars="0" w:hanging="506" w:hangingChars="21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rPr>
        <w:t xml:space="preserve">2.1 </w:t>
      </w:r>
      <w:r>
        <w:rPr>
          <w:rFonts w:hint="eastAsia" w:ascii="宋体" w:hAnsi="宋体" w:eastAsia="宋体" w:cs="宋体"/>
          <w:color w:val="000000"/>
          <w:sz w:val="24"/>
          <w:szCs w:val="24"/>
          <w:highlight w:val="none"/>
        </w:rPr>
        <w:t>主数据</w:t>
      </w:r>
      <w:r>
        <w:rPr>
          <w:rFonts w:hint="eastAsia" w:ascii="宋体" w:hAnsi="宋体" w:eastAsia="宋体" w:cs="宋体"/>
          <w:color w:val="000000"/>
          <w:sz w:val="24"/>
          <w:szCs w:val="24"/>
          <w:highlight w:val="none"/>
          <w:lang w:val="en-US"/>
        </w:rPr>
        <w:t>标准化</w:t>
      </w:r>
    </w:p>
    <w:p w14:paraId="34D1C27A">
      <w:pPr>
        <w:pStyle w:val="6"/>
        <w:numPr>
          <w:ilvl w:val="4"/>
          <w:numId w:val="0"/>
        </w:numPr>
        <w:ind w:left="1008" w:leftChars="0" w:hanging="1008" w:firstLineChars="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2.1.1  运营建模（S0）</w:t>
      </w:r>
    </w:p>
    <w:p w14:paraId="7704A727">
      <w:pPr>
        <w:numPr>
          <w:ilvl w:val="0"/>
          <w:numId w:val="26"/>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数据分类与规范</w:t>
      </w:r>
    </w:p>
    <w:p w14:paraId="0ECEC53F">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供应商/客户主数据：</w:t>
      </w:r>
      <w:r>
        <w:rPr>
          <w:rFonts w:hint="eastAsia" w:ascii="宋体" w:hAnsi="宋体" w:eastAsia="宋体" w:cs="宋体"/>
          <w:bCs/>
          <w:color w:val="000000"/>
          <w:sz w:val="24"/>
          <w:szCs w:val="24"/>
          <w:highlight w:val="none"/>
        </w:rPr>
        <w:t>包含基本信息（名称、</w:t>
      </w:r>
      <w:r>
        <w:rPr>
          <w:rFonts w:hint="eastAsia" w:ascii="宋体" w:hAnsi="宋体" w:eastAsia="宋体" w:cs="宋体"/>
          <w:bCs/>
          <w:color w:val="000000"/>
          <w:sz w:val="24"/>
          <w:szCs w:val="24"/>
          <w:highlight w:val="none"/>
          <w:lang w:val="en-US"/>
        </w:rPr>
        <w:t>信用代码</w:t>
      </w:r>
      <w:r>
        <w:rPr>
          <w:rFonts w:hint="eastAsia" w:ascii="宋体" w:hAnsi="宋体" w:eastAsia="宋体" w:cs="宋体"/>
          <w:bCs/>
          <w:color w:val="000000"/>
          <w:sz w:val="24"/>
          <w:szCs w:val="24"/>
          <w:highlight w:val="none"/>
        </w:rPr>
        <w:t>、地址）、</w:t>
      </w:r>
      <w:r>
        <w:rPr>
          <w:rFonts w:hint="eastAsia" w:ascii="宋体" w:hAnsi="宋体" w:eastAsia="宋体" w:cs="宋体"/>
          <w:bCs/>
          <w:color w:val="000000"/>
          <w:sz w:val="24"/>
          <w:szCs w:val="24"/>
          <w:highlight w:val="none"/>
          <w:lang w:val="en-US"/>
        </w:rPr>
        <w:t>联系人信息</w:t>
      </w:r>
      <w:r>
        <w:rPr>
          <w:rFonts w:hint="eastAsia" w:ascii="宋体" w:hAnsi="宋体" w:eastAsia="宋体" w:cs="宋体"/>
          <w:bCs/>
          <w:color w:val="000000"/>
          <w:sz w:val="24"/>
          <w:szCs w:val="24"/>
          <w:highlight w:val="none"/>
        </w:rPr>
        <w:t>、资质信息、</w:t>
      </w:r>
      <w:r>
        <w:rPr>
          <w:rFonts w:hint="eastAsia" w:ascii="宋体" w:hAnsi="宋体" w:eastAsia="宋体" w:cs="宋体"/>
          <w:bCs/>
          <w:color w:val="000000"/>
          <w:sz w:val="24"/>
          <w:szCs w:val="24"/>
          <w:highlight w:val="none"/>
          <w:lang w:val="en-US"/>
        </w:rPr>
        <w:t>开票</w:t>
      </w:r>
      <w:r>
        <w:rPr>
          <w:rFonts w:hint="eastAsia" w:ascii="宋体" w:hAnsi="宋体" w:eastAsia="宋体" w:cs="宋体"/>
          <w:bCs/>
          <w:color w:val="000000"/>
          <w:sz w:val="24"/>
          <w:szCs w:val="24"/>
          <w:highlight w:val="none"/>
        </w:rPr>
        <w:t>信息（</w:t>
      </w:r>
      <w:r>
        <w:rPr>
          <w:rFonts w:hint="eastAsia" w:ascii="宋体" w:hAnsi="宋体" w:eastAsia="宋体" w:cs="宋体"/>
          <w:bCs/>
          <w:color w:val="000000"/>
          <w:sz w:val="24"/>
          <w:szCs w:val="24"/>
          <w:highlight w:val="none"/>
          <w:lang w:val="en-US"/>
        </w:rPr>
        <w:t>开户银行</w:t>
      </w:r>
      <w:r>
        <w:rPr>
          <w:rFonts w:hint="eastAsia" w:ascii="宋体" w:hAnsi="宋体" w:eastAsia="宋体" w:cs="宋体"/>
          <w:bCs/>
          <w:color w:val="000000"/>
          <w:sz w:val="24"/>
          <w:szCs w:val="24"/>
          <w:highlight w:val="none"/>
        </w:rPr>
        <w:t>、</w:t>
      </w:r>
      <w:r>
        <w:rPr>
          <w:rFonts w:hint="eastAsia" w:ascii="宋体" w:hAnsi="宋体" w:eastAsia="宋体" w:cs="宋体"/>
          <w:bCs/>
          <w:color w:val="000000"/>
          <w:sz w:val="24"/>
          <w:szCs w:val="24"/>
          <w:highlight w:val="none"/>
          <w:lang w:val="en-US"/>
        </w:rPr>
        <w:t>银行账号</w:t>
      </w:r>
      <w:r>
        <w:rPr>
          <w:rFonts w:hint="eastAsia" w:ascii="宋体" w:hAnsi="宋体" w:eastAsia="宋体" w:cs="宋体"/>
          <w:bCs/>
          <w:color w:val="000000"/>
          <w:sz w:val="24"/>
          <w:szCs w:val="24"/>
          <w:highlight w:val="none"/>
        </w:rPr>
        <w:t>）；</w:t>
      </w:r>
    </w:p>
    <w:p w14:paraId="084188A3">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物料主数据：</w:t>
      </w:r>
      <w:r>
        <w:rPr>
          <w:rFonts w:hint="eastAsia" w:ascii="宋体" w:hAnsi="宋体" w:eastAsia="宋体" w:cs="宋体"/>
          <w:bCs/>
          <w:color w:val="000000"/>
          <w:sz w:val="24"/>
          <w:szCs w:val="24"/>
          <w:highlight w:val="none"/>
        </w:rPr>
        <w:t>制定统一编码规则（如“物料类型+材质+规格+版本</w:t>
      </w:r>
      <w:r>
        <w:rPr>
          <w:rFonts w:hint="eastAsia" w:ascii="宋体" w:hAnsi="宋体" w:eastAsia="宋体" w:cs="宋体"/>
          <w:bCs/>
          <w:color w:val="000000"/>
          <w:sz w:val="24"/>
          <w:szCs w:val="24"/>
          <w:highlight w:val="none"/>
          <w:lang w:val="en-US"/>
        </w:rPr>
        <w:t>+日期</w:t>
      </w:r>
      <w:r>
        <w:rPr>
          <w:rFonts w:hint="eastAsia" w:ascii="宋体" w:hAnsi="宋体" w:eastAsia="宋体" w:cs="宋体"/>
          <w:bCs/>
          <w:color w:val="000000"/>
          <w:sz w:val="24"/>
          <w:szCs w:val="24"/>
          <w:highlight w:val="none"/>
        </w:rPr>
        <w:t>”18位编码），明确物料属性；</w:t>
      </w:r>
    </w:p>
    <w:p w14:paraId="43D76C6F">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工艺主数据：</w:t>
      </w:r>
      <w:r>
        <w:rPr>
          <w:rFonts w:hint="eastAsia" w:ascii="宋体" w:hAnsi="宋体" w:eastAsia="宋体" w:cs="宋体"/>
          <w:bCs/>
          <w:color w:val="000000"/>
          <w:sz w:val="24"/>
          <w:szCs w:val="24"/>
          <w:highlight w:val="none"/>
        </w:rPr>
        <w:t>标准工序库（如机加工包含“车削-铣削-钻孔-抛光”4类基础工序）、工艺路线模板（按产品系列预设流程，支持个性化调整）。</w:t>
      </w:r>
    </w:p>
    <w:p w14:paraId="65B1D41C">
      <w:pPr>
        <w:numPr>
          <w:ilvl w:val="0"/>
          <w:numId w:val="27"/>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数据导入与同步</w:t>
      </w:r>
    </w:p>
    <w:p w14:paraId="5ADBD3FA">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初始导入：</w:t>
      </w:r>
      <w:r>
        <w:rPr>
          <w:rFonts w:hint="eastAsia" w:ascii="宋体" w:hAnsi="宋体" w:eastAsia="宋体" w:cs="宋体"/>
          <w:bCs/>
          <w:color w:val="000000"/>
          <w:sz w:val="24"/>
          <w:szCs w:val="24"/>
          <w:highlight w:val="none"/>
          <w:lang w:val="en-US"/>
        </w:rPr>
        <w:t>支持</w:t>
      </w:r>
      <w:r>
        <w:rPr>
          <w:rFonts w:hint="eastAsia" w:ascii="宋体" w:hAnsi="宋体" w:eastAsia="宋体" w:cs="宋体"/>
          <w:bCs/>
          <w:color w:val="000000"/>
          <w:sz w:val="24"/>
          <w:szCs w:val="24"/>
          <w:highlight w:val="none"/>
        </w:rPr>
        <w:t>通过Excel模板批量导入（</w:t>
      </w:r>
      <w:r>
        <w:rPr>
          <w:rFonts w:hint="eastAsia" w:ascii="宋体" w:hAnsi="宋体" w:eastAsia="宋体" w:cs="宋体"/>
          <w:bCs/>
          <w:color w:val="000000"/>
          <w:sz w:val="24"/>
          <w:szCs w:val="24"/>
          <w:highlight w:val="none"/>
          <w:lang w:val="en-US"/>
        </w:rPr>
        <w:t>需</w:t>
      </w:r>
      <w:r>
        <w:rPr>
          <w:rFonts w:hint="eastAsia" w:ascii="宋体" w:hAnsi="宋体" w:eastAsia="宋体" w:cs="宋体"/>
          <w:bCs/>
          <w:color w:val="000000"/>
          <w:sz w:val="24"/>
          <w:szCs w:val="24"/>
          <w:highlight w:val="none"/>
        </w:rPr>
        <w:t>提供标准化模板，含必填字段校验）；</w:t>
      </w:r>
    </w:p>
    <w:p w14:paraId="01EA98B8">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实时同步：</w:t>
      </w:r>
      <w:r>
        <w:rPr>
          <w:rFonts w:hint="eastAsia" w:ascii="宋体" w:hAnsi="宋体" w:eastAsia="宋体" w:cs="宋体"/>
          <w:bCs/>
          <w:color w:val="000000"/>
          <w:sz w:val="24"/>
          <w:szCs w:val="24"/>
          <w:highlight w:val="none"/>
        </w:rPr>
        <w:t>与ERP系统建立接口，实现主数据“一处修改、全系统同步”（如</w:t>
      </w:r>
      <w:r>
        <w:rPr>
          <w:rFonts w:hint="eastAsia" w:ascii="宋体" w:hAnsi="宋体" w:eastAsia="宋体" w:cs="宋体"/>
          <w:bCs/>
          <w:color w:val="000000"/>
          <w:sz w:val="24"/>
          <w:szCs w:val="24"/>
          <w:highlight w:val="none"/>
          <w:lang w:val="en-US"/>
        </w:rPr>
        <w:t>ERP</w:t>
      </w:r>
      <w:r>
        <w:rPr>
          <w:rFonts w:hint="eastAsia" w:ascii="宋体" w:hAnsi="宋体" w:eastAsia="宋体" w:cs="宋体"/>
          <w:bCs/>
          <w:color w:val="000000"/>
          <w:sz w:val="24"/>
          <w:szCs w:val="24"/>
          <w:highlight w:val="none"/>
        </w:rPr>
        <w:t>中物料规格变更后，DOP需</w:t>
      </w:r>
      <w:r>
        <w:rPr>
          <w:rFonts w:hint="eastAsia" w:ascii="宋体" w:hAnsi="宋体" w:eastAsia="宋体" w:cs="宋体"/>
          <w:bCs/>
          <w:color w:val="000000"/>
          <w:sz w:val="24"/>
          <w:szCs w:val="24"/>
          <w:highlight w:val="none"/>
          <w:lang w:val="en-US"/>
        </w:rPr>
        <w:t>及时响应并同步做出</w:t>
      </w:r>
      <w:r>
        <w:rPr>
          <w:rFonts w:hint="eastAsia" w:ascii="宋体" w:hAnsi="宋体" w:eastAsia="宋体" w:cs="宋体"/>
          <w:bCs/>
          <w:color w:val="000000"/>
          <w:sz w:val="24"/>
          <w:szCs w:val="24"/>
          <w:highlight w:val="none"/>
        </w:rPr>
        <w:t>更新，</w:t>
      </w:r>
      <w:r>
        <w:rPr>
          <w:rFonts w:hint="eastAsia" w:ascii="宋体" w:hAnsi="宋体" w:eastAsia="宋体" w:cs="宋体"/>
          <w:bCs/>
          <w:color w:val="000000"/>
          <w:sz w:val="24"/>
          <w:szCs w:val="24"/>
          <w:highlight w:val="none"/>
          <w:lang w:val="en-US"/>
        </w:rPr>
        <w:t>更新延迟不超过5分钟</w:t>
      </w:r>
      <w:r>
        <w:rPr>
          <w:rFonts w:hint="eastAsia" w:ascii="宋体" w:hAnsi="宋体" w:eastAsia="宋体" w:cs="宋体"/>
          <w:bCs/>
          <w:color w:val="000000"/>
          <w:sz w:val="24"/>
          <w:szCs w:val="24"/>
          <w:highlight w:val="none"/>
        </w:rPr>
        <w:t>）。</w:t>
      </w:r>
    </w:p>
    <w:p w14:paraId="1CC4EA93">
      <w:pPr>
        <w:rPr>
          <w:rFonts w:hint="eastAsia" w:ascii="宋体" w:hAnsi="宋体" w:eastAsia="宋体" w:cs="宋体"/>
          <w:sz w:val="24"/>
          <w:szCs w:val="24"/>
          <w:highlight w:val="none"/>
          <w:lang w:val="en-US"/>
        </w:rPr>
      </w:pPr>
    </w:p>
    <w:p w14:paraId="3C65B13D">
      <w:pPr>
        <w:pStyle w:val="5"/>
        <w:numPr>
          <w:ilvl w:val="3"/>
          <w:numId w:val="0"/>
        </w:numPr>
        <w:ind w:left="397" w:leftChars="-52" w:right="220" w:rightChars="0" w:hanging="506" w:hangingChars="21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rPr>
        <w:t>2.2 核心</w:t>
      </w:r>
      <w:r>
        <w:rPr>
          <w:rFonts w:hint="eastAsia" w:ascii="宋体" w:hAnsi="宋体" w:eastAsia="宋体" w:cs="宋体"/>
          <w:color w:val="000000"/>
          <w:sz w:val="24"/>
          <w:szCs w:val="24"/>
          <w:highlight w:val="none"/>
        </w:rPr>
        <w:t>订单与流程标准化</w:t>
      </w:r>
    </w:p>
    <w:p w14:paraId="71FAB052">
      <w:pPr>
        <w:numPr>
          <w:ilvl w:val="0"/>
          <w:numId w:val="28"/>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rPr>
        <w:t>核心</w:t>
      </w:r>
      <w:r>
        <w:rPr>
          <w:rFonts w:hint="eastAsia" w:ascii="宋体" w:hAnsi="宋体" w:eastAsia="宋体" w:cs="宋体"/>
          <w:bCs/>
          <w:color w:val="000000"/>
          <w:sz w:val="24"/>
          <w:szCs w:val="24"/>
          <w:highlight w:val="none"/>
        </w:rPr>
        <w:t>订单标准化</w:t>
      </w:r>
    </w:p>
    <w:p w14:paraId="01E19C14">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销售订单</w:t>
      </w:r>
      <w:r>
        <w:rPr>
          <w:rFonts w:hint="eastAsia" w:ascii="宋体" w:hAnsi="宋体" w:eastAsia="宋体" w:cs="宋体"/>
          <w:bCs/>
          <w:color w:val="000000"/>
          <w:sz w:val="24"/>
          <w:szCs w:val="24"/>
          <w:highlight w:val="none"/>
        </w:rPr>
        <w:t>：统一订单核心字段模板，涵盖订单编号、客户代码、产品型号规格、订货数量、交付日期等关键信息；明确订单</w:t>
      </w:r>
      <w:r>
        <w:rPr>
          <w:rFonts w:hint="eastAsia" w:ascii="宋体" w:hAnsi="宋体" w:eastAsia="宋体" w:cs="宋体"/>
          <w:bCs/>
          <w:color w:val="000000"/>
          <w:sz w:val="24"/>
          <w:szCs w:val="24"/>
          <w:highlight w:val="none"/>
          <w:lang w:eastAsia="zh"/>
        </w:rPr>
        <w:t>变更</w:t>
      </w:r>
      <w:r>
        <w:rPr>
          <w:rFonts w:hint="eastAsia" w:ascii="宋体" w:hAnsi="宋体" w:eastAsia="宋体" w:cs="宋体"/>
          <w:bCs/>
          <w:color w:val="000000"/>
          <w:sz w:val="24"/>
          <w:szCs w:val="24"/>
          <w:highlight w:val="none"/>
        </w:rPr>
        <w:t>各节点的权责主体与时效要求，确保订单信息准确传递，避免沟通偏差；</w:t>
      </w:r>
    </w:p>
    <w:p w14:paraId="0C1BB8B9">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制造工单</w:t>
      </w:r>
      <w:r>
        <w:rPr>
          <w:rFonts w:hint="eastAsia" w:ascii="宋体" w:hAnsi="宋体" w:eastAsia="宋体" w:cs="宋体"/>
          <w:bCs/>
          <w:color w:val="000000"/>
          <w:sz w:val="24"/>
          <w:szCs w:val="24"/>
          <w:highlight w:val="none"/>
        </w:rPr>
        <w:t>：建立与销售订单的关联机制；工单内容需完整包含生产执行要素，具体为</w:t>
      </w:r>
      <w:r>
        <w:rPr>
          <w:rFonts w:hint="eastAsia" w:ascii="宋体" w:hAnsi="宋体" w:eastAsia="宋体" w:cs="宋体"/>
          <w:bCs/>
          <w:color w:val="000000"/>
          <w:sz w:val="24"/>
          <w:szCs w:val="24"/>
          <w:highlight w:val="none"/>
          <w:lang w:val="en-US"/>
        </w:rPr>
        <w:t>批次号、工单号</w:t>
      </w:r>
      <w:r>
        <w:rPr>
          <w:rFonts w:hint="eastAsia" w:ascii="宋体" w:hAnsi="宋体" w:eastAsia="宋体" w:cs="宋体"/>
          <w:bCs/>
          <w:color w:val="000000"/>
          <w:sz w:val="24"/>
          <w:szCs w:val="24"/>
          <w:highlight w:val="none"/>
        </w:rPr>
        <w:t>、物料</w:t>
      </w:r>
      <w:r>
        <w:rPr>
          <w:rFonts w:hint="eastAsia" w:ascii="宋体" w:hAnsi="宋体" w:eastAsia="宋体" w:cs="宋体"/>
          <w:bCs/>
          <w:color w:val="000000"/>
          <w:sz w:val="24"/>
          <w:szCs w:val="24"/>
          <w:highlight w:val="none"/>
          <w:lang w:val="en-US"/>
        </w:rPr>
        <w:t>号</w:t>
      </w:r>
      <w:r>
        <w:rPr>
          <w:rFonts w:hint="eastAsia" w:ascii="宋体" w:hAnsi="宋体" w:eastAsia="宋体" w:cs="宋体"/>
          <w:bCs/>
          <w:color w:val="000000"/>
          <w:sz w:val="24"/>
          <w:szCs w:val="24"/>
          <w:highlight w:val="none"/>
        </w:rPr>
        <w:t>、工序排程计划、预计完工日期、</w:t>
      </w:r>
      <w:r>
        <w:rPr>
          <w:rFonts w:hint="eastAsia" w:ascii="宋体" w:hAnsi="宋体" w:eastAsia="宋体" w:cs="宋体"/>
          <w:bCs/>
          <w:color w:val="000000"/>
          <w:sz w:val="24"/>
          <w:szCs w:val="24"/>
          <w:highlight w:val="none"/>
          <w:lang w:val="en-US"/>
        </w:rPr>
        <w:t>制造工单优先级</w:t>
      </w:r>
      <w:r>
        <w:rPr>
          <w:rFonts w:hint="eastAsia" w:ascii="宋体" w:hAnsi="宋体" w:eastAsia="宋体" w:cs="宋体"/>
          <w:bCs/>
          <w:color w:val="000000"/>
          <w:sz w:val="24"/>
          <w:szCs w:val="24"/>
          <w:highlight w:val="none"/>
        </w:rPr>
        <w:t>；</w:t>
      </w:r>
    </w:p>
    <w:p w14:paraId="0CD96F0F">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采购订单</w:t>
      </w:r>
      <w:r>
        <w:rPr>
          <w:rFonts w:hint="eastAsia" w:ascii="宋体" w:hAnsi="宋体" w:eastAsia="宋体" w:cs="宋体"/>
          <w:bCs/>
          <w:color w:val="000000"/>
          <w:sz w:val="24"/>
          <w:szCs w:val="24"/>
          <w:highlight w:val="none"/>
        </w:rPr>
        <w:t>：基于制造工单的物料需求精准生成，实现采购需求与生产计划的无缝衔接；订单需明确供应商代码、物料型号规格、采购数量、交付日期等核心条款。</w:t>
      </w:r>
    </w:p>
    <w:p w14:paraId="5CFFF4C3">
      <w:pPr>
        <w:numPr>
          <w:ilvl w:val="0"/>
          <w:numId w:val="29"/>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流程标准化</w:t>
      </w:r>
    </w:p>
    <w:p w14:paraId="1E1AB949">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绘制OTD全流程蓝图：</w:t>
      </w:r>
      <w:r>
        <w:rPr>
          <w:rFonts w:hint="eastAsia" w:ascii="宋体" w:hAnsi="宋体" w:eastAsia="宋体" w:cs="宋体"/>
          <w:bCs/>
          <w:color w:val="000000"/>
          <w:sz w:val="24"/>
          <w:szCs w:val="24"/>
          <w:highlight w:val="none"/>
        </w:rPr>
        <w:t>梳理从订单评审、计划排产、物料采购、生产制造、质量检验到成品交付的全流程节点；明确每个节点的输入信息、输出成果、责任部门 / 岗位、操作时效标准，形成可视化的</w:t>
      </w:r>
      <w:r>
        <w:rPr>
          <w:rFonts w:hint="eastAsia" w:ascii="宋体" w:hAnsi="宋体" w:eastAsia="宋体" w:cs="宋体"/>
          <w:bCs/>
          <w:color w:val="000000"/>
          <w:sz w:val="24"/>
          <w:szCs w:val="24"/>
          <w:highlight w:val="none"/>
          <w:lang w:eastAsia="zh"/>
        </w:rPr>
        <w:t>价值流</w:t>
      </w:r>
      <w:r>
        <w:rPr>
          <w:rFonts w:hint="eastAsia" w:ascii="宋体" w:hAnsi="宋体" w:eastAsia="宋体" w:cs="宋体"/>
          <w:bCs/>
          <w:color w:val="000000"/>
          <w:sz w:val="24"/>
          <w:szCs w:val="24"/>
          <w:highlight w:val="none"/>
        </w:rPr>
        <w:t>；</w:t>
      </w:r>
    </w:p>
    <w:p w14:paraId="7C856FC7">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制定流程执行规范（SOP）：</w:t>
      </w:r>
      <w:r>
        <w:rPr>
          <w:rFonts w:hint="eastAsia" w:ascii="宋体" w:hAnsi="宋体" w:eastAsia="宋体" w:cs="宋体"/>
          <w:bCs/>
          <w:color w:val="000000"/>
          <w:sz w:val="24"/>
          <w:szCs w:val="24"/>
          <w:highlight w:val="none"/>
        </w:rPr>
        <w:t>针对各核心业务流程，编制详细、可落地的SOP文件，明确操作步骤、执行标准与管控要求，如采购收货流程需包含“供应商送货→IQC检验→合格入库/不合格退货”3个强制节点。</w:t>
      </w:r>
    </w:p>
    <w:p w14:paraId="2994F871">
      <w:pPr>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val="en-US"/>
        </w:rPr>
        <w:t>技术</w:t>
      </w:r>
      <w:r>
        <w:rPr>
          <w:rFonts w:hint="eastAsia" w:ascii="宋体" w:hAnsi="宋体" w:eastAsia="宋体" w:cs="宋体"/>
          <w:b/>
          <w:color w:val="000000"/>
          <w:sz w:val="24"/>
          <w:szCs w:val="24"/>
          <w:highlight w:val="none"/>
        </w:rPr>
        <w:t>支持</w:t>
      </w:r>
    </w:p>
    <w:p w14:paraId="26403681">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主数据管理工具：</w:t>
      </w:r>
      <w:r>
        <w:rPr>
          <w:rFonts w:hint="eastAsia" w:ascii="宋体" w:hAnsi="宋体" w:eastAsia="宋体" w:cs="宋体"/>
          <w:bCs/>
          <w:color w:val="000000"/>
          <w:sz w:val="24"/>
          <w:szCs w:val="24"/>
          <w:highlight w:val="none"/>
          <w:lang w:val="en-US"/>
        </w:rPr>
        <w:t>需要对接数据中台</w:t>
      </w:r>
      <w:r>
        <w:rPr>
          <w:rFonts w:hint="eastAsia" w:ascii="宋体" w:hAnsi="宋体" w:eastAsia="宋体" w:cs="宋体"/>
          <w:bCs/>
          <w:color w:val="000000"/>
          <w:sz w:val="24"/>
          <w:szCs w:val="24"/>
          <w:highlight w:val="none"/>
        </w:rPr>
        <w:t>进行数据清洗与同步；</w:t>
      </w:r>
    </w:p>
    <w:p w14:paraId="101644DE">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接口开发工具：</w:t>
      </w:r>
      <w:r>
        <w:rPr>
          <w:rFonts w:hint="eastAsia" w:ascii="宋体" w:hAnsi="宋体" w:eastAsia="宋体" w:cs="宋体"/>
          <w:bCs/>
          <w:color w:val="000000"/>
          <w:sz w:val="24"/>
          <w:szCs w:val="24"/>
          <w:highlight w:val="none"/>
        </w:rPr>
        <w:t>通过</w:t>
      </w:r>
      <w:r>
        <w:rPr>
          <w:rFonts w:hint="eastAsia" w:ascii="宋体" w:hAnsi="宋体" w:eastAsia="宋体" w:cs="宋体"/>
          <w:bCs/>
          <w:color w:val="000000"/>
          <w:sz w:val="24"/>
          <w:szCs w:val="24"/>
          <w:highlight w:val="none"/>
          <w:lang w:eastAsia="zh"/>
        </w:rPr>
        <w:t>ERP</w:t>
      </w:r>
      <w:r>
        <w:rPr>
          <w:rFonts w:hint="eastAsia" w:ascii="宋体" w:hAnsi="宋体" w:eastAsia="宋体" w:cs="宋体"/>
          <w:bCs/>
          <w:color w:val="000000"/>
          <w:sz w:val="24"/>
          <w:szCs w:val="24"/>
          <w:highlight w:val="none"/>
          <w:lang w:val="en-US"/>
        </w:rPr>
        <w:t>开放</w:t>
      </w:r>
      <w:r>
        <w:rPr>
          <w:rFonts w:hint="eastAsia" w:ascii="宋体" w:hAnsi="宋体" w:eastAsia="宋体" w:cs="宋体"/>
          <w:bCs/>
          <w:color w:val="000000"/>
          <w:sz w:val="24"/>
          <w:szCs w:val="24"/>
          <w:highlight w:val="none"/>
        </w:rPr>
        <w:t>接口平台实现与ERP、</w:t>
      </w:r>
      <w:r>
        <w:rPr>
          <w:rFonts w:hint="eastAsia" w:ascii="宋体" w:hAnsi="宋体" w:eastAsia="宋体" w:cs="宋体"/>
          <w:bCs/>
          <w:color w:val="000000"/>
          <w:sz w:val="24"/>
          <w:szCs w:val="24"/>
          <w:highlight w:val="none"/>
          <w:lang w:val="en-US"/>
        </w:rPr>
        <w:t>OA等系统</w:t>
      </w:r>
      <w:r>
        <w:rPr>
          <w:rFonts w:hint="eastAsia" w:ascii="宋体" w:hAnsi="宋体" w:eastAsia="宋体" w:cs="宋体"/>
          <w:bCs/>
          <w:color w:val="000000"/>
          <w:sz w:val="24"/>
          <w:szCs w:val="24"/>
          <w:highlight w:val="none"/>
        </w:rPr>
        <w:t>的数据对接。</w:t>
      </w:r>
    </w:p>
    <w:p w14:paraId="57E7743A">
      <w:pPr>
        <w:pStyle w:val="5"/>
        <w:numPr>
          <w:ilvl w:val="3"/>
          <w:numId w:val="0"/>
        </w:numPr>
        <w:ind w:left="370" w:leftChars="-65" w:right="220" w:rightChars="0" w:hanging="506" w:hangingChars="21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2.3 产销、制造与供应协同平台</w:t>
      </w:r>
    </w:p>
    <w:p w14:paraId="148B603D">
      <w:pPr>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通过“产销-</w:t>
      </w:r>
      <w:r>
        <w:rPr>
          <w:rFonts w:hint="eastAsia" w:ascii="宋体" w:hAnsi="宋体" w:eastAsia="宋体" w:cs="宋体"/>
          <w:bCs/>
          <w:color w:val="000000"/>
          <w:sz w:val="24"/>
          <w:szCs w:val="24"/>
          <w:highlight w:val="none"/>
          <w:lang w:val="en-US"/>
        </w:rPr>
        <w:t>制造</w:t>
      </w:r>
      <w:r>
        <w:rPr>
          <w:rFonts w:hint="eastAsia" w:ascii="宋体" w:hAnsi="宋体" w:eastAsia="宋体" w:cs="宋体"/>
          <w:bCs/>
          <w:color w:val="000000"/>
          <w:sz w:val="24"/>
          <w:szCs w:val="24"/>
          <w:highlight w:val="none"/>
        </w:rPr>
        <w:t>-供应”三级协同，实现“客户</w:t>
      </w:r>
      <w:r>
        <w:rPr>
          <w:rFonts w:hint="eastAsia" w:ascii="宋体" w:hAnsi="宋体" w:eastAsia="宋体" w:cs="宋体"/>
          <w:bCs/>
          <w:color w:val="000000"/>
          <w:sz w:val="24"/>
          <w:szCs w:val="24"/>
          <w:highlight w:val="none"/>
          <w:lang w:val="en-US"/>
        </w:rPr>
        <w:t>订单</w:t>
      </w:r>
      <w:r>
        <w:rPr>
          <w:rFonts w:hint="eastAsia" w:ascii="宋体" w:hAnsi="宋体" w:eastAsia="宋体" w:cs="宋体"/>
          <w:bCs/>
          <w:color w:val="000000"/>
          <w:sz w:val="24"/>
          <w:szCs w:val="24"/>
          <w:highlight w:val="none"/>
        </w:rPr>
        <w:t>→生产计划→物料供应”的精准匹配，减少订单交付延期、库存积压等问题。</w:t>
      </w:r>
    </w:p>
    <w:p w14:paraId="5DAF66A0">
      <w:pPr>
        <w:pStyle w:val="6"/>
        <w:numPr>
          <w:ilvl w:val="4"/>
          <w:numId w:val="0"/>
        </w:numPr>
        <w:ind w:left="1008" w:leftChars="0" w:hanging="1008" w:firstLineChars="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rPr>
        <w:t>2.3.1</w:t>
      </w:r>
      <w:r>
        <w:rPr>
          <w:rFonts w:hint="eastAsia" w:ascii="宋体" w:hAnsi="宋体" w:eastAsia="宋体" w:cs="宋体"/>
          <w:bCs/>
          <w:color w:val="000000"/>
          <w:sz w:val="24"/>
          <w:szCs w:val="24"/>
          <w:highlight w:val="none"/>
        </w:rPr>
        <w:t>产销协同平台（S1）</w:t>
      </w:r>
    </w:p>
    <w:p w14:paraId="67667EC7">
      <w:pPr>
        <w:numPr>
          <w:ilvl w:val="0"/>
          <w:numId w:val="30"/>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核心功能</w:t>
      </w:r>
    </w:p>
    <w:p w14:paraId="508225AC">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订单评审：</w:t>
      </w:r>
      <w:r>
        <w:rPr>
          <w:rFonts w:hint="eastAsia" w:ascii="宋体" w:hAnsi="宋体" w:eastAsia="宋体" w:cs="宋体"/>
          <w:bCs/>
          <w:color w:val="000000"/>
          <w:sz w:val="24"/>
          <w:szCs w:val="24"/>
          <w:highlight w:val="none"/>
          <w:lang w:val="en-US"/>
        </w:rPr>
        <w:t>根据</w:t>
      </w:r>
      <w:r>
        <w:rPr>
          <w:rFonts w:hint="eastAsia" w:ascii="宋体" w:hAnsi="宋体" w:eastAsia="宋体" w:cs="宋体"/>
          <w:bCs/>
          <w:color w:val="000000"/>
          <w:sz w:val="24"/>
          <w:szCs w:val="24"/>
          <w:highlight w:val="none"/>
        </w:rPr>
        <w:t>客户</w:t>
      </w:r>
      <w:r>
        <w:rPr>
          <w:rFonts w:hint="eastAsia" w:ascii="宋体" w:hAnsi="宋体" w:eastAsia="宋体" w:cs="宋体"/>
          <w:bCs/>
          <w:color w:val="000000"/>
          <w:sz w:val="24"/>
          <w:szCs w:val="24"/>
          <w:highlight w:val="none"/>
          <w:lang w:val="en-US"/>
        </w:rPr>
        <w:t>要求</w:t>
      </w:r>
      <w:r>
        <w:rPr>
          <w:rFonts w:hint="eastAsia" w:ascii="宋体" w:hAnsi="宋体" w:eastAsia="宋体" w:cs="宋体"/>
          <w:bCs/>
          <w:color w:val="000000"/>
          <w:sz w:val="24"/>
          <w:szCs w:val="24"/>
          <w:highlight w:val="none"/>
        </w:rPr>
        <w:t>、产能负荷、物料库存数据，</w:t>
      </w:r>
      <w:r>
        <w:rPr>
          <w:rFonts w:hint="eastAsia" w:ascii="宋体" w:hAnsi="宋体" w:eastAsia="宋体" w:cs="宋体"/>
          <w:bCs/>
          <w:color w:val="000000"/>
          <w:sz w:val="24"/>
          <w:szCs w:val="24"/>
          <w:highlight w:val="none"/>
          <w:lang w:val="en-US"/>
        </w:rPr>
        <w:t>自动</w:t>
      </w:r>
      <w:r>
        <w:rPr>
          <w:rFonts w:hint="eastAsia" w:ascii="宋体" w:hAnsi="宋体" w:eastAsia="宋体" w:cs="宋体"/>
          <w:bCs/>
          <w:color w:val="000000"/>
          <w:sz w:val="24"/>
          <w:szCs w:val="24"/>
          <w:highlight w:val="none"/>
        </w:rPr>
        <w:t>评审</w:t>
      </w:r>
      <w:r>
        <w:rPr>
          <w:rFonts w:hint="eastAsia" w:ascii="宋体" w:hAnsi="宋体" w:eastAsia="宋体" w:cs="宋体"/>
          <w:bCs/>
          <w:color w:val="000000"/>
          <w:sz w:val="24"/>
          <w:szCs w:val="24"/>
          <w:highlight w:val="none"/>
          <w:lang w:val="en-US"/>
        </w:rPr>
        <w:t>订单交期</w:t>
      </w:r>
      <w:r>
        <w:rPr>
          <w:rFonts w:hint="eastAsia" w:ascii="宋体" w:hAnsi="宋体" w:eastAsia="宋体" w:cs="宋体"/>
          <w:bCs/>
          <w:color w:val="000000"/>
          <w:sz w:val="24"/>
          <w:szCs w:val="24"/>
          <w:highlight w:val="none"/>
        </w:rPr>
        <w:t>；</w:t>
      </w:r>
    </w:p>
    <w:p w14:paraId="09F4D721">
      <w:pPr>
        <w:ind w:firstLine="482" w:firstLineChars="200"/>
        <w:rPr>
          <w:rFonts w:hint="eastAsia" w:ascii="宋体" w:hAnsi="宋体" w:eastAsia="宋体" w:cs="宋体"/>
          <w:bCs/>
          <w:color w:val="000000"/>
          <w:sz w:val="24"/>
          <w:szCs w:val="24"/>
          <w:highlight w:val="none"/>
          <w:lang w:val="en-US"/>
        </w:rPr>
      </w:pPr>
      <w:r>
        <w:rPr>
          <w:rFonts w:hint="eastAsia" w:ascii="宋体" w:hAnsi="宋体" w:eastAsia="宋体" w:cs="宋体"/>
          <w:b/>
          <w:color w:val="000000"/>
          <w:sz w:val="24"/>
          <w:szCs w:val="24"/>
          <w:highlight w:val="none"/>
          <w:lang w:val="en-US"/>
        </w:rPr>
        <w:t>订单交付：</w:t>
      </w:r>
      <w:r>
        <w:rPr>
          <w:rFonts w:hint="eastAsia" w:ascii="宋体" w:hAnsi="宋体" w:eastAsia="宋体" w:cs="宋体"/>
          <w:bCs/>
          <w:color w:val="000000"/>
          <w:sz w:val="24"/>
          <w:szCs w:val="24"/>
          <w:highlight w:val="none"/>
          <w:lang w:val="en-US"/>
        </w:rPr>
        <w:t>接受销售订单后，自动联动生产能力、物料供应、历史履约等信息生成交付承诺单，明确交付日期；交付进度流程通过评审、排产、齐套、采购、备料、生产到发运全流程跟踪查看，每个节点可设置时效要求，实时同步数据并自动更新节点进度，</w:t>
      </w:r>
      <w:r>
        <w:rPr>
          <w:rFonts w:hint="eastAsia" w:ascii="宋体" w:hAnsi="宋体" w:eastAsia="宋体" w:cs="宋体"/>
          <w:bCs/>
          <w:sz w:val="24"/>
          <w:szCs w:val="24"/>
          <w:highlight w:val="none"/>
          <w:lang w:val="en-US"/>
        </w:rPr>
        <w:t>根据时效要求，</w:t>
      </w:r>
      <w:r>
        <w:rPr>
          <w:rFonts w:hint="eastAsia" w:ascii="宋体" w:hAnsi="宋体" w:eastAsia="宋体" w:cs="宋体"/>
          <w:bCs/>
          <w:color w:val="000000" w:themeColor="text1"/>
          <w:sz w:val="24"/>
          <w:szCs w:val="24"/>
          <w:highlight w:val="none"/>
          <w:lang w:val="en-US"/>
          <w14:textFill>
            <w14:solidFill>
              <w14:schemeClr w14:val="tx1"/>
            </w14:solidFill>
          </w14:textFill>
        </w:rPr>
        <w:t>自动触发预警机制（节点进度滞后10%、节点进度滞后30%或确认无法按时交付，自动启动交付变更流程，需要提交变更申请并经审批后，与客户协商新的交付日期，同步更新订单状态）。</w:t>
      </w:r>
    </w:p>
    <w:p w14:paraId="1E6C068B">
      <w:pPr>
        <w:ind w:firstLine="482" w:firstLineChars="200"/>
        <w:rPr>
          <w:rFonts w:hint="eastAsia" w:ascii="宋体" w:hAnsi="宋体" w:eastAsia="宋体" w:cs="宋体"/>
          <w:bCs/>
          <w:color w:val="000000"/>
          <w:sz w:val="24"/>
          <w:szCs w:val="24"/>
          <w:highlight w:val="none"/>
          <w:lang w:val="en-US"/>
        </w:rPr>
      </w:pPr>
      <w:r>
        <w:rPr>
          <w:rFonts w:hint="eastAsia" w:ascii="宋体" w:hAnsi="宋体" w:eastAsia="宋体" w:cs="宋体"/>
          <w:b/>
          <w:color w:val="000000"/>
          <w:sz w:val="24"/>
          <w:szCs w:val="24"/>
          <w:highlight w:val="none"/>
          <w:lang w:val="en-US"/>
        </w:rPr>
        <w:t>订单发货：</w:t>
      </w:r>
      <w:r>
        <w:rPr>
          <w:rFonts w:hint="eastAsia" w:ascii="宋体" w:hAnsi="宋体" w:eastAsia="宋体" w:cs="宋体"/>
          <w:bCs/>
          <w:color w:val="000000"/>
          <w:sz w:val="24"/>
          <w:szCs w:val="24"/>
          <w:highlight w:val="none"/>
          <w:lang w:val="en-US"/>
        </w:rPr>
        <w:t>满足成品入库完成或交付日期到期等场景时，销售人员手工生成“销售发货通知单”，包含订单号、客户信息、成品型号 /数量、包装要求，</w:t>
      </w:r>
      <w:r>
        <w:rPr>
          <w:rFonts w:hint="eastAsia" w:ascii="宋体" w:hAnsi="宋体" w:eastAsia="宋体" w:cs="宋体"/>
          <w:bCs/>
          <w:color w:val="000000"/>
          <w:sz w:val="24"/>
          <w:szCs w:val="24"/>
          <w:highlight w:val="none"/>
          <w:lang w:val="en-US" w:eastAsia="zh"/>
        </w:rPr>
        <w:t>对接ERP</w:t>
      </w:r>
      <w:r>
        <w:rPr>
          <w:rFonts w:hint="eastAsia" w:ascii="宋体" w:hAnsi="宋体" w:eastAsia="宋体" w:cs="宋体"/>
          <w:bCs/>
          <w:color w:val="000000"/>
          <w:sz w:val="24"/>
          <w:szCs w:val="24"/>
          <w:highlight w:val="none"/>
          <w:lang w:val="en-US"/>
        </w:rPr>
        <w:t>。</w:t>
      </w:r>
    </w:p>
    <w:p w14:paraId="17444B6A">
      <w:pPr>
        <w:numPr>
          <w:ilvl w:val="0"/>
          <w:numId w:val="31"/>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实施要点</w:t>
      </w:r>
    </w:p>
    <w:p w14:paraId="0AB11CB2">
      <w:pPr>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与销售部门确认“订单优先级规则”（如老客户订单优先于新客户）；</w:t>
      </w:r>
    </w:p>
    <w:p w14:paraId="557EDD5C">
      <w:pPr>
        <w:pStyle w:val="6"/>
        <w:numPr>
          <w:ilvl w:val="4"/>
          <w:numId w:val="0"/>
        </w:numPr>
        <w:ind w:left="1008" w:leftChars="0" w:hanging="1008" w:firstLineChars="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rPr>
        <w:t>2.3.2制造</w:t>
      </w:r>
      <w:r>
        <w:rPr>
          <w:rFonts w:hint="eastAsia" w:ascii="宋体" w:hAnsi="宋体" w:eastAsia="宋体" w:cs="宋体"/>
          <w:bCs/>
          <w:color w:val="000000"/>
          <w:sz w:val="24"/>
          <w:szCs w:val="24"/>
          <w:highlight w:val="none"/>
        </w:rPr>
        <w:t>协同平台（S2）</w:t>
      </w:r>
    </w:p>
    <w:p w14:paraId="058AB4C1">
      <w:pPr>
        <w:numPr>
          <w:ilvl w:val="0"/>
          <w:numId w:val="32"/>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核心功能</w:t>
      </w:r>
    </w:p>
    <w:p w14:paraId="0BCB6760">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主生产计划（MPS）：</w:t>
      </w:r>
      <w:r>
        <w:rPr>
          <w:rFonts w:hint="eastAsia" w:ascii="宋体" w:hAnsi="宋体" w:eastAsia="宋体" w:cs="宋体"/>
          <w:bCs/>
          <w:color w:val="000000"/>
          <w:sz w:val="24"/>
          <w:szCs w:val="24"/>
          <w:highlight w:val="none"/>
          <w:lang w:eastAsia="zh"/>
        </w:rPr>
        <w:t>对接ERP实现</w:t>
      </w:r>
      <w:r>
        <w:rPr>
          <w:rFonts w:hint="eastAsia" w:ascii="宋体" w:hAnsi="宋体" w:eastAsia="宋体" w:cs="宋体"/>
          <w:bCs/>
          <w:color w:val="000000"/>
          <w:sz w:val="24"/>
          <w:szCs w:val="24"/>
          <w:highlight w:val="none"/>
        </w:rPr>
        <w:t>月/周分解销售订单，明确各车间生产任务（如“装配车间每周需完成500台产品A”）；</w:t>
      </w:r>
    </w:p>
    <w:p w14:paraId="665FA691">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产能平衡：</w:t>
      </w:r>
      <w:r>
        <w:rPr>
          <w:rFonts w:hint="eastAsia" w:ascii="宋体" w:hAnsi="宋体" w:eastAsia="宋体" w:cs="宋体"/>
          <w:bCs/>
          <w:color w:val="000000"/>
          <w:sz w:val="24"/>
          <w:szCs w:val="24"/>
          <w:highlight w:val="none"/>
          <w:lang w:eastAsia="zh"/>
        </w:rPr>
        <w:t>对接MES实现</w:t>
      </w:r>
      <w:r>
        <w:rPr>
          <w:rFonts w:hint="eastAsia" w:ascii="宋体" w:hAnsi="宋体" w:eastAsia="宋体" w:cs="宋体"/>
          <w:bCs/>
          <w:color w:val="000000"/>
          <w:sz w:val="24"/>
          <w:szCs w:val="24"/>
          <w:highlight w:val="none"/>
        </w:rPr>
        <w:t>监控设备负荷（如车床利用率≥90%时预警）；</w:t>
      </w:r>
    </w:p>
    <w:p w14:paraId="46BF167E">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工单执行监控：</w:t>
      </w:r>
      <w:r>
        <w:rPr>
          <w:rFonts w:hint="eastAsia" w:ascii="宋体" w:hAnsi="宋体" w:eastAsia="宋体" w:cs="宋体"/>
          <w:bCs/>
          <w:color w:val="000000"/>
          <w:sz w:val="24"/>
          <w:szCs w:val="24"/>
          <w:highlight w:val="none"/>
          <w:lang w:eastAsia="zh"/>
        </w:rPr>
        <w:t>对接MES实现</w:t>
      </w:r>
      <w:r>
        <w:rPr>
          <w:rFonts w:hint="eastAsia" w:ascii="宋体" w:hAnsi="宋体" w:eastAsia="宋体" w:cs="宋体"/>
          <w:bCs/>
          <w:color w:val="000000"/>
          <w:sz w:val="24"/>
          <w:szCs w:val="24"/>
          <w:highlight w:val="none"/>
        </w:rPr>
        <w:t>跟踪工单进度（如“工单B已完成70%，预计提前1天完工”），</w:t>
      </w:r>
      <w:r>
        <w:rPr>
          <w:rFonts w:hint="eastAsia" w:ascii="宋体" w:hAnsi="宋体" w:eastAsia="宋体" w:cs="宋体"/>
          <w:bCs/>
          <w:color w:val="000000" w:themeColor="text1"/>
          <w:sz w:val="24"/>
          <w:szCs w:val="24"/>
          <w:highlight w:val="none"/>
          <w14:textFill>
            <w14:solidFill>
              <w14:schemeClr w14:val="tx1"/>
            </w14:solidFill>
          </w14:textFill>
        </w:rPr>
        <w:t>延迟时自动推送预警至生产主管。</w:t>
      </w:r>
    </w:p>
    <w:p w14:paraId="26EBFB39">
      <w:pPr>
        <w:numPr>
          <w:ilvl w:val="0"/>
          <w:numId w:val="33"/>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实施要点</w:t>
      </w:r>
    </w:p>
    <w:p w14:paraId="464A7103">
      <w:pPr>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eastAsia="zh"/>
        </w:rPr>
        <w:t>对接MES实现</w:t>
      </w:r>
      <w:r>
        <w:rPr>
          <w:rFonts w:hint="eastAsia" w:ascii="宋体" w:hAnsi="宋体" w:eastAsia="宋体" w:cs="宋体"/>
          <w:bCs/>
          <w:color w:val="000000"/>
          <w:sz w:val="24"/>
          <w:szCs w:val="24"/>
          <w:highlight w:val="none"/>
        </w:rPr>
        <w:t>导入设备产能数据（如每台机床的理论产能、实际效率）；获取生产数据（如工序完工数量）。</w:t>
      </w:r>
    </w:p>
    <w:p w14:paraId="1C6F28E4">
      <w:pPr>
        <w:pStyle w:val="6"/>
        <w:numPr>
          <w:ilvl w:val="4"/>
          <w:numId w:val="0"/>
        </w:numPr>
        <w:ind w:left="1008" w:leftChars="0" w:hanging="1008" w:firstLineChars="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rPr>
        <w:t xml:space="preserve">2.3.3 </w:t>
      </w:r>
      <w:r>
        <w:rPr>
          <w:rFonts w:hint="eastAsia" w:ascii="宋体" w:hAnsi="宋体" w:eastAsia="宋体" w:cs="宋体"/>
          <w:bCs/>
          <w:color w:val="000000"/>
          <w:sz w:val="24"/>
          <w:szCs w:val="24"/>
          <w:highlight w:val="none"/>
        </w:rPr>
        <w:t>供应协同平台（S3）</w:t>
      </w:r>
    </w:p>
    <w:p w14:paraId="6AF021EC">
      <w:pPr>
        <w:numPr>
          <w:ilvl w:val="0"/>
          <w:numId w:val="34"/>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核心功能</w:t>
      </w:r>
    </w:p>
    <w:p w14:paraId="61BD55A7">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物料需求计划（MRP）：</w:t>
      </w:r>
      <w:r>
        <w:rPr>
          <w:rFonts w:hint="eastAsia" w:ascii="宋体" w:hAnsi="宋体" w:eastAsia="宋体" w:cs="宋体"/>
          <w:bCs/>
          <w:color w:val="000000"/>
          <w:sz w:val="24"/>
          <w:szCs w:val="24"/>
          <w:highlight w:val="none"/>
          <w:lang w:eastAsia="zh"/>
        </w:rPr>
        <w:t>对接ERP实现</w:t>
      </w:r>
      <w:r>
        <w:rPr>
          <w:rFonts w:hint="eastAsia" w:ascii="宋体" w:hAnsi="宋体" w:eastAsia="宋体" w:cs="宋体"/>
          <w:bCs/>
          <w:color w:val="000000"/>
          <w:sz w:val="24"/>
          <w:szCs w:val="24"/>
          <w:highlight w:val="none"/>
        </w:rPr>
        <w:t>根据生产计划自动计算物料</w:t>
      </w:r>
      <w:r>
        <w:rPr>
          <w:rFonts w:hint="eastAsia" w:ascii="宋体" w:hAnsi="宋体" w:eastAsia="宋体" w:cs="宋体"/>
          <w:bCs/>
          <w:color w:val="000000"/>
          <w:sz w:val="24"/>
          <w:szCs w:val="24"/>
          <w:highlight w:val="none"/>
          <w:lang w:val="en-US"/>
        </w:rPr>
        <w:t>净</w:t>
      </w:r>
      <w:r>
        <w:rPr>
          <w:rFonts w:hint="eastAsia" w:ascii="宋体" w:hAnsi="宋体" w:eastAsia="宋体" w:cs="宋体"/>
          <w:bCs/>
          <w:color w:val="000000"/>
          <w:sz w:val="24"/>
          <w:szCs w:val="24"/>
          <w:highlight w:val="none"/>
        </w:rPr>
        <w:t>需求（如“生产100台产品A需500个零件B”），考虑现有库存和在途量；</w:t>
      </w:r>
    </w:p>
    <w:p w14:paraId="31E545AF">
      <w:pPr>
        <w:numPr>
          <w:ilvl w:val="0"/>
          <w:numId w:val="35"/>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实施要点</w:t>
      </w:r>
    </w:p>
    <w:p w14:paraId="58D41F86">
      <w:pPr>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每月对供应商交付率进行排名（如Top3供应商给予优先订单）。</w:t>
      </w:r>
    </w:p>
    <w:p w14:paraId="23A4065C">
      <w:pPr>
        <w:numPr>
          <w:ilvl w:val="0"/>
          <w:numId w:val="35"/>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rPr>
        <w:t>技术</w:t>
      </w:r>
      <w:r>
        <w:rPr>
          <w:rFonts w:hint="eastAsia" w:ascii="宋体" w:hAnsi="宋体" w:eastAsia="宋体" w:cs="宋体"/>
          <w:bCs/>
          <w:color w:val="000000"/>
          <w:sz w:val="24"/>
          <w:szCs w:val="24"/>
          <w:highlight w:val="none"/>
        </w:rPr>
        <w:t>支持</w:t>
      </w:r>
    </w:p>
    <w:p w14:paraId="4F7946AD">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计划排程工具：</w:t>
      </w:r>
      <w:r>
        <w:rPr>
          <w:rFonts w:hint="eastAsia" w:ascii="宋体" w:hAnsi="宋体" w:eastAsia="宋体" w:cs="宋体"/>
          <w:bCs/>
          <w:color w:val="000000"/>
          <w:sz w:val="24"/>
          <w:szCs w:val="24"/>
          <w:highlight w:val="none"/>
          <w:lang w:val="en-US"/>
        </w:rPr>
        <w:t>自有生产排程模块</w:t>
      </w:r>
      <w:r>
        <w:rPr>
          <w:rFonts w:hint="eastAsia" w:ascii="宋体" w:hAnsi="宋体" w:eastAsia="宋体" w:cs="宋体"/>
          <w:bCs/>
          <w:color w:val="000000"/>
          <w:sz w:val="24"/>
          <w:szCs w:val="24"/>
          <w:highlight w:val="none"/>
        </w:rPr>
        <w:t>，</w:t>
      </w:r>
      <w:r>
        <w:rPr>
          <w:rFonts w:hint="eastAsia" w:ascii="宋体" w:hAnsi="宋体" w:eastAsia="宋体" w:cs="宋体"/>
          <w:bCs/>
          <w:color w:val="000000"/>
          <w:sz w:val="24"/>
          <w:szCs w:val="24"/>
          <w:highlight w:val="none"/>
          <w:lang w:eastAsia="zh"/>
        </w:rPr>
        <w:t>对接ERP实现</w:t>
      </w:r>
      <w:r>
        <w:rPr>
          <w:rFonts w:hint="eastAsia" w:ascii="宋体" w:hAnsi="宋体" w:eastAsia="宋体" w:cs="宋体"/>
          <w:bCs/>
          <w:color w:val="000000"/>
          <w:sz w:val="24"/>
          <w:szCs w:val="24"/>
          <w:highlight w:val="none"/>
        </w:rPr>
        <w:t>支持</w:t>
      </w:r>
      <w:r>
        <w:rPr>
          <w:rFonts w:hint="eastAsia" w:ascii="宋体" w:hAnsi="宋体" w:eastAsia="宋体" w:cs="宋体"/>
          <w:bCs/>
          <w:color w:val="000000"/>
          <w:sz w:val="24"/>
          <w:szCs w:val="24"/>
          <w:highlight w:val="none"/>
          <w:lang w:eastAsia="zh"/>
        </w:rPr>
        <w:t>订单优先级和产能</w:t>
      </w:r>
      <w:r>
        <w:rPr>
          <w:rFonts w:hint="eastAsia" w:ascii="宋体" w:hAnsi="宋体" w:eastAsia="宋体" w:cs="宋体"/>
          <w:bCs/>
          <w:color w:val="000000"/>
          <w:sz w:val="24"/>
          <w:szCs w:val="24"/>
          <w:highlight w:val="none"/>
        </w:rPr>
        <w:t>约束条件下的</w:t>
      </w:r>
      <w:r>
        <w:rPr>
          <w:rFonts w:hint="eastAsia" w:ascii="宋体" w:hAnsi="宋体" w:eastAsia="宋体" w:cs="宋体"/>
          <w:bCs/>
          <w:color w:val="000000"/>
          <w:sz w:val="24"/>
          <w:szCs w:val="24"/>
          <w:highlight w:val="none"/>
          <w:lang w:val="en-US"/>
        </w:rPr>
        <w:t>自动</w:t>
      </w:r>
      <w:r>
        <w:rPr>
          <w:rFonts w:hint="eastAsia" w:ascii="宋体" w:hAnsi="宋体" w:eastAsia="宋体" w:cs="宋体"/>
          <w:bCs/>
          <w:color w:val="000000"/>
          <w:sz w:val="24"/>
          <w:szCs w:val="24"/>
          <w:highlight w:val="none"/>
        </w:rPr>
        <w:t>排产；</w:t>
      </w:r>
    </w:p>
    <w:p w14:paraId="51D304DD">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移动端应用：</w:t>
      </w:r>
      <w:r>
        <w:rPr>
          <w:rFonts w:hint="eastAsia" w:ascii="宋体" w:hAnsi="宋体" w:eastAsia="宋体" w:cs="宋体"/>
          <w:bCs/>
          <w:color w:val="000000"/>
          <w:sz w:val="24"/>
          <w:szCs w:val="24"/>
          <w:highlight w:val="none"/>
        </w:rPr>
        <w:t>实现计划员、车间主任随时随地查看计划进度（如</w:t>
      </w:r>
      <w:r>
        <w:rPr>
          <w:rFonts w:hint="eastAsia" w:ascii="宋体" w:hAnsi="宋体" w:eastAsia="宋体" w:cs="宋体"/>
          <w:bCs/>
          <w:color w:val="000000"/>
          <w:sz w:val="24"/>
          <w:szCs w:val="24"/>
          <w:highlight w:val="none"/>
          <w:lang w:eastAsia="zh"/>
        </w:rPr>
        <w:t>手机微信</w:t>
      </w:r>
      <w:r>
        <w:rPr>
          <w:rFonts w:hint="eastAsia" w:ascii="宋体" w:hAnsi="宋体" w:eastAsia="宋体" w:cs="宋体"/>
          <w:bCs/>
          <w:color w:val="000000"/>
          <w:sz w:val="24"/>
          <w:szCs w:val="24"/>
          <w:highlight w:val="none"/>
        </w:rPr>
        <w:t>推送预警信息）。</w:t>
      </w:r>
    </w:p>
    <w:p w14:paraId="191F0F2A">
      <w:pPr>
        <w:pStyle w:val="6"/>
        <w:numPr>
          <w:ilvl w:val="4"/>
          <w:numId w:val="0"/>
        </w:numPr>
        <w:ind w:left="1008" w:leftChars="0" w:hanging="1008" w:firstLineChars="0"/>
        <w:rPr>
          <w:rFonts w:hint="eastAsia" w:ascii="宋体" w:hAnsi="宋体" w:eastAsia="宋体" w:cs="宋体"/>
          <w:bCs/>
          <w:color w:val="000000"/>
          <w:sz w:val="24"/>
          <w:szCs w:val="24"/>
          <w:highlight w:val="none"/>
          <w:lang w:val="en-US"/>
        </w:rPr>
      </w:pPr>
      <w:r>
        <w:rPr>
          <w:rFonts w:hint="eastAsia" w:ascii="宋体" w:hAnsi="宋体" w:eastAsia="宋体" w:cs="宋体"/>
          <w:bCs/>
          <w:color w:val="000000"/>
          <w:sz w:val="24"/>
          <w:szCs w:val="24"/>
          <w:highlight w:val="none"/>
          <w:lang w:val="en-US"/>
        </w:rPr>
        <w:t>2.3.4 采购执行</w:t>
      </w:r>
      <w:r>
        <w:rPr>
          <w:rFonts w:hint="eastAsia" w:ascii="宋体" w:hAnsi="宋体" w:eastAsia="宋体" w:cs="宋体"/>
          <w:bCs/>
          <w:color w:val="000000"/>
          <w:sz w:val="24"/>
          <w:szCs w:val="24"/>
          <w:highlight w:val="none"/>
        </w:rPr>
        <w:t>（S</w:t>
      </w:r>
      <w:r>
        <w:rPr>
          <w:rFonts w:hint="eastAsia" w:ascii="宋体" w:hAnsi="宋体" w:eastAsia="宋体" w:cs="宋体"/>
          <w:bCs/>
          <w:color w:val="000000"/>
          <w:sz w:val="24"/>
          <w:szCs w:val="24"/>
          <w:highlight w:val="none"/>
          <w:lang w:val="en-US"/>
        </w:rPr>
        <w:t>4</w:t>
      </w:r>
      <w:r>
        <w:rPr>
          <w:rFonts w:hint="eastAsia" w:ascii="宋体" w:hAnsi="宋体" w:eastAsia="宋体" w:cs="宋体"/>
          <w:bCs/>
          <w:color w:val="000000"/>
          <w:sz w:val="24"/>
          <w:szCs w:val="24"/>
          <w:highlight w:val="none"/>
        </w:rPr>
        <w:t>）</w:t>
      </w:r>
    </w:p>
    <w:p w14:paraId="2B9B52D4">
      <w:pPr>
        <w:numPr>
          <w:ilvl w:val="0"/>
          <w:numId w:val="36"/>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核心流程</w:t>
      </w:r>
    </w:p>
    <w:p w14:paraId="04A55A40">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采购计划发布：</w:t>
      </w:r>
      <w:r>
        <w:rPr>
          <w:rFonts w:hint="eastAsia" w:ascii="宋体" w:hAnsi="宋体" w:eastAsia="宋体" w:cs="宋体"/>
          <w:bCs/>
          <w:color w:val="000000"/>
          <w:sz w:val="24"/>
          <w:szCs w:val="24"/>
          <w:highlight w:val="none"/>
          <w:lang w:eastAsia="zh"/>
        </w:rPr>
        <w:t>对接ERP实现</w:t>
      </w:r>
      <w:r>
        <w:rPr>
          <w:rFonts w:hint="eastAsia" w:ascii="宋体" w:hAnsi="宋体" w:eastAsia="宋体" w:cs="宋体"/>
          <w:bCs/>
          <w:color w:val="000000"/>
          <w:sz w:val="24"/>
          <w:szCs w:val="24"/>
          <w:highlight w:val="none"/>
        </w:rPr>
        <w:t>通过供应商门户推送采购订单；</w:t>
      </w:r>
    </w:p>
    <w:p w14:paraId="1ADDD0D0">
      <w:pPr>
        <w:numPr>
          <w:ilvl w:val="0"/>
          <w:numId w:val="37"/>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实施要点</w:t>
      </w:r>
    </w:p>
    <w:p w14:paraId="7D414207">
      <w:pPr>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eastAsia="zh"/>
        </w:rPr>
        <w:t>建立供应商门户</w:t>
      </w:r>
      <w:r>
        <w:rPr>
          <w:rFonts w:hint="eastAsia" w:ascii="宋体" w:hAnsi="宋体" w:eastAsia="宋体" w:cs="宋体"/>
          <w:bCs/>
          <w:color w:val="000000"/>
          <w:sz w:val="24"/>
          <w:szCs w:val="24"/>
          <w:highlight w:val="none"/>
        </w:rPr>
        <w:t>。</w:t>
      </w:r>
    </w:p>
    <w:p w14:paraId="0AF3B3EC">
      <w:pPr>
        <w:pStyle w:val="5"/>
        <w:numPr>
          <w:ilvl w:val="3"/>
          <w:numId w:val="0"/>
        </w:numPr>
        <w:ind w:left="340" w:leftChars="-195" w:right="220" w:rightChars="0" w:hanging="749" w:hangingChars="311"/>
        <w:rPr>
          <w:rFonts w:hint="eastAsia" w:ascii="宋体" w:hAnsi="宋体" w:eastAsia="宋体" w:cs="宋体"/>
          <w:b/>
          <w:bCs w:val="0"/>
          <w:color w:val="000000"/>
          <w:sz w:val="24"/>
          <w:szCs w:val="24"/>
          <w:highlight w:val="none"/>
        </w:rPr>
      </w:pPr>
      <w:r>
        <w:rPr>
          <w:rFonts w:hint="eastAsia" w:ascii="宋体" w:hAnsi="宋体" w:eastAsia="宋体" w:cs="宋体"/>
          <w:b/>
          <w:bCs w:val="0"/>
          <w:color w:val="000000"/>
          <w:sz w:val="24"/>
          <w:szCs w:val="24"/>
          <w:highlight w:val="none"/>
          <w:lang w:val="en-US"/>
        </w:rPr>
        <w:t xml:space="preserve">2.4 </w:t>
      </w:r>
      <w:r>
        <w:rPr>
          <w:rFonts w:hint="eastAsia" w:ascii="宋体" w:hAnsi="宋体" w:eastAsia="宋体" w:cs="宋体"/>
          <w:b/>
          <w:bCs w:val="0"/>
          <w:color w:val="000000"/>
          <w:sz w:val="24"/>
          <w:szCs w:val="24"/>
          <w:highlight w:val="none"/>
        </w:rPr>
        <w:t>物料仓储、</w:t>
      </w:r>
      <w:r>
        <w:rPr>
          <w:rFonts w:hint="eastAsia" w:ascii="宋体" w:hAnsi="宋体" w:eastAsia="宋体" w:cs="宋体"/>
          <w:b/>
          <w:bCs w:val="0"/>
          <w:color w:val="000000"/>
          <w:sz w:val="24"/>
          <w:szCs w:val="24"/>
          <w:highlight w:val="none"/>
          <w:lang w:val="en-US"/>
        </w:rPr>
        <w:t>生产执行</w:t>
      </w:r>
      <w:r>
        <w:rPr>
          <w:rFonts w:hint="eastAsia" w:ascii="宋体" w:hAnsi="宋体" w:eastAsia="宋体" w:cs="宋体"/>
          <w:b/>
          <w:bCs w:val="0"/>
          <w:color w:val="000000"/>
          <w:sz w:val="24"/>
          <w:szCs w:val="24"/>
          <w:highlight w:val="none"/>
        </w:rPr>
        <w:t>、成品</w:t>
      </w:r>
      <w:r>
        <w:rPr>
          <w:rFonts w:hint="eastAsia" w:ascii="宋体" w:hAnsi="宋体" w:eastAsia="宋体" w:cs="宋体"/>
          <w:b/>
          <w:bCs w:val="0"/>
          <w:color w:val="000000"/>
          <w:sz w:val="24"/>
          <w:szCs w:val="24"/>
          <w:highlight w:val="none"/>
          <w:lang w:val="en-US"/>
        </w:rPr>
        <w:t>仓储系统对接</w:t>
      </w:r>
    </w:p>
    <w:p w14:paraId="14305660">
      <w:pPr>
        <w:ind w:left="630"/>
        <w:rPr>
          <w:rFonts w:hint="eastAsia" w:ascii="宋体" w:hAnsi="宋体" w:eastAsia="宋体" w:cs="宋体"/>
          <w:bCs/>
          <w:color w:val="000000"/>
          <w:sz w:val="24"/>
          <w:szCs w:val="24"/>
          <w:highlight w:val="none"/>
          <w:lang w:val="en-US"/>
        </w:rPr>
      </w:pPr>
      <w:r>
        <w:rPr>
          <w:rFonts w:hint="eastAsia" w:ascii="宋体" w:hAnsi="宋体" w:eastAsia="宋体" w:cs="宋体"/>
          <w:bCs/>
          <w:color w:val="000000"/>
          <w:sz w:val="24"/>
          <w:szCs w:val="24"/>
          <w:highlight w:val="none"/>
          <w:lang w:val="en-US"/>
        </w:rPr>
        <w:t>（1）核心目标</w:t>
      </w:r>
    </w:p>
    <w:p w14:paraId="7EA57F47">
      <w:pPr>
        <w:ind w:firstLine="480" w:firstLineChars="200"/>
        <w:rPr>
          <w:rFonts w:hint="eastAsia" w:ascii="宋体" w:hAnsi="宋体" w:eastAsia="宋体" w:cs="宋体"/>
          <w:b/>
          <w:color w:val="000000"/>
          <w:sz w:val="24"/>
          <w:szCs w:val="24"/>
          <w:highlight w:val="none"/>
        </w:rPr>
      </w:pPr>
      <w:r>
        <w:rPr>
          <w:rFonts w:hint="eastAsia" w:ascii="宋体" w:hAnsi="宋体" w:eastAsia="宋体" w:cs="宋体"/>
          <w:bCs/>
          <w:color w:val="000000"/>
          <w:sz w:val="24"/>
          <w:szCs w:val="24"/>
          <w:highlight w:val="none"/>
          <w:lang w:eastAsia="zh"/>
        </w:rPr>
        <w:t>对接ERP实现</w:t>
      </w:r>
      <w:r>
        <w:rPr>
          <w:rFonts w:hint="eastAsia" w:ascii="宋体" w:hAnsi="宋体" w:eastAsia="宋体" w:cs="宋体"/>
          <w:bCs/>
          <w:color w:val="000000"/>
          <w:sz w:val="24"/>
          <w:szCs w:val="24"/>
          <w:highlight w:val="none"/>
        </w:rPr>
        <w:t>仓储管理、生产执行、成品</w:t>
      </w:r>
      <w:r>
        <w:rPr>
          <w:rFonts w:hint="eastAsia" w:ascii="宋体" w:hAnsi="宋体" w:eastAsia="宋体" w:cs="宋体"/>
          <w:bCs/>
          <w:color w:val="000000"/>
          <w:sz w:val="24"/>
          <w:szCs w:val="24"/>
          <w:highlight w:val="none"/>
          <w:lang w:val="en-US"/>
        </w:rPr>
        <w:t>发货</w:t>
      </w:r>
      <w:r>
        <w:rPr>
          <w:rFonts w:hint="eastAsia" w:ascii="宋体" w:hAnsi="宋体" w:eastAsia="宋体" w:cs="宋体"/>
          <w:bCs/>
          <w:color w:val="000000"/>
          <w:sz w:val="24"/>
          <w:szCs w:val="24"/>
          <w:highlight w:val="none"/>
        </w:rPr>
        <w:t>的</w:t>
      </w:r>
      <w:r>
        <w:rPr>
          <w:rFonts w:hint="eastAsia" w:ascii="宋体" w:hAnsi="宋体" w:eastAsia="宋体" w:cs="宋体"/>
          <w:bCs/>
          <w:color w:val="000000"/>
          <w:sz w:val="24"/>
          <w:szCs w:val="24"/>
          <w:highlight w:val="none"/>
          <w:lang w:val="en-US"/>
        </w:rPr>
        <w:t>系统及数据对接</w:t>
      </w:r>
      <w:r>
        <w:rPr>
          <w:rFonts w:hint="eastAsia" w:ascii="宋体" w:hAnsi="宋体" w:eastAsia="宋体" w:cs="宋体"/>
          <w:bCs/>
          <w:color w:val="000000"/>
          <w:sz w:val="24"/>
          <w:szCs w:val="24"/>
          <w:highlight w:val="none"/>
        </w:rPr>
        <w:t>，确保OTD全流程“每一步可记录、每一件可追溯”。</w:t>
      </w:r>
    </w:p>
    <w:p w14:paraId="7DE052C3">
      <w:pPr>
        <w:numPr>
          <w:ilvl w:val="0"/>
          <w:numId w:val="38"/>
        </w:numPr>
        <w:ind w:left="630"/>
        <w:rPr>
          <w:rFonts w:hint="eastAsia" w:ascii="宋体" w:hAnsi="宋体" w:eastAsia="宋体" w:cs="宋体"/>
          <w:bCs/>
          <w:color w:val="000000"/>
          <w:sz w:val="24"/>
          <w:szCs w:val="24"/>
          <w:highlight w:val="none"/>
          <w:lang w:val="en-US"/>
        </w:rPr>
      </w:pPr>
      <w:r>
        <w:rPr>
          <w:rFonts w:hint="eastAsia" w:ascii="宋体" w:hAnsi="宋体" w:eastAsia="宋体" w:cs="宋体"/>
          <w:bCs/>
          <w:color w:val="000000"/>
          <w:sz w:val="24"/>
          <w:szCs w:val="24"/>
          <w:highlight w:val="none"/>
          <w:lang w:val="en-US"/>
        </w:rPr>
        <w:t>被对接系统的核心功能</w:t>
      </w:r>
    </w:p>
    <w:p w14:paraId="574C8592">
      <w:pPr>
        <w:pStyle w:val="6"/>
        <w:numPr>
          <w:ilvl w:val="4"/>
          <w:numId w:val="0"/>
        </w:numPr>
        <w:ind w:left="1008" w:leftChars="0" w:hanging="1008" w:firstLineChars="0"/>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lang w:val="en-US"/>
        </w:rPr>
        <w:t xml:space="preserve">2.4.1 </w:t>
      </w:r>
      <w:r>
        <w:rPr>
          <w:rFonts w:hint="eastAsia" w:ascii="宋体" w:hAnsi="宋体" w:eastAsia="宋体" w:cs="宋体"/>
          <w:b w:val="0"/>
          <w:bCs/>
          <w:color w:val="000000"/>
          <w:sz w:val="24"/>
          <w:szCs w:val="24"/>
          <w:highlight w:val="none"/>
        </w:rPr>
        <w:t>物料</w:t>
      </w:r>
      <w:r>
        <w:rPr>
          <w:rFonts w:hint="eastAsia" w:ascii="宋体" w:hAnsi="宋体" w:eastAsia="宋体" w:cs="宋体"/>
          <w:b w:val="0"/>
          <w:bCs/>
          <w:color w:val="000000"/>
          <w:sz w:val="24"/>
          <w:szCs w:val="24"/>
          <w:highlight w:val="none"/>
          <w:lang w:val="en-US"/>
        </w:rPr>
        <w:t>仓储</w:t>
      </w:r>
      <w:r>
        <w:rPr>
          <w:rFonts w:hint="eastAsia" w:ascii="宋体" w:hAnsi="宋体" w:eastAsia="宋体" w:cs="宋体"/>
          <w:b w:val="0"/>
          <w:bCs/>
          <w:color w:val="000000"/>
          <w:sz w:val="24"/>
          <w:szCs w:val="24"/>
          <w:highlight w:val="none"/>
        </w:rPr>
        <w:t>（S5）</w:t>
      </w:r>
    </w:p>
    <w:p w14:paraId="07CAFC78">
      <w:pPr>
        <w:numPr>
          <w:ilvl w:val="0"/>
          <w:numId w:val="36"/>
        </w:numPr>
        <w:rPr>
          <w:rFonts w:hint="eastAsia" w:ascii="宋体" w:hAnsi="宋体" w:eastAsia="宋体" w:cs="宋体"/>
          <w:bCs/>
          <w:color w:val="000000"/>
          <w:sz w:val="24"/>
          <w:szCs w:val="24"/>
          <w:highlight w:val="none"/>
          <w:lang w:val="en-US"/>
        </w:rPr>
      </w:pPr>
      <w:r>
        <w:rPr>
          <w:rFonts w:hint="eastAsia" w:ascii="宋体" w:hAnsi="宋体" w:eastAsia="宋体" w:cs="宋体"/>
          <w:bCs/>
          <w:color w:val="000000"/>
          <w:sz w:val="24"/>
          <w:szCs w:val="24"/>
          <w:highlight w:val="none"/>
          <w:lang w:val="en-US"/>
        </w:rPr>
        <w:t>核心功能</w:t>
      </w:r>
    </w:p>
    <w:p w14:paraId="62544B28">
      <w:pPr>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来料检验（IQC）：</w:t>
      </w:r>
      <w:r>
        <w:rPr>
          <w:rFonts w:hint="eastAsia" w:ascii="宋体" w:hAnsi="宋体" w:eastAsia="宋体" w:cs="宋体"/>
          <w:bCs/>
          <w:color w:val="000000"/>
          <w:sz w:val="24"/>
          <w:szCs w:val="24"/>
          <w:highlight w:val="none"/>
          <w:lang w:eastAsia="zh"/>
        </w:rPr>
        <w:t>对接ERP实现获取检验结果</w:t>
      </w:r>
      <w:r>
        <w:rPr>
          <w:rFonts w:hint="eastAsia" w:ascii="宋体" w:hAnsi="宋体" w:eastAsia="宋体" w:cs="宋体"/>
          <w:bCs/>
          <w:color w:val="000000"/>
          <w:sz w:val="24"/>
          <w:szCs w:val="24"/>
          <w:highlight w:val="none"/>
        </w:rPr>
        <w:t>。</w:t>
      </w:r>
    </w:p>
    <w:p w14:paraId="078499E5">
      <w:pPr>
        <w:ind w:firstLine="482" w:firstLineChars="200"/>
        <w:rPr>
          <w:rFonts w:hint="eastAsia" w:ascii="宋体" w:hAnsi="宋体" w:eastAsia="宋体" w:cs="宋体"/>
          <w:bCs/>
          <w:color w:val="000000"/>
          <w:sz w:val="24"/>
          <w:szCs w:val="24"/>
          <w:highlight w:val="none"/>
          <w:lang w:eastAsia="zh"/>
        </w:rPr>
      </w:pPr>
      <w:r>
        <w:rPr>
          <w:rFonts w:hint="eastAsia" w:ascii="宋体" w:hAnsi="宋体" w:eastAsia="宋体" w:cs="宋体"/>
          <w:b/>
          <w:color w:val="000000"/>
          <w:sz w:val="24"/>
          <w:szCs w:val="24"/>
          <w:highlight w:val="none"/>
        </w:rPr>
        <w:t>库存操作：</w:t>
      </w:r>
      <w:r>
        <w:rPr>
          <w:rFonts w:hint="eastAsia" w:ascii="宋体" w:hAnsi="宋体" w:eastAsia="宋体" w:cs="宋体"/>
          <w:bCs/>
          <w:color w:val="000000"/>
          <w:sz w:val="24"/>
          <w:szCs w:val="24"/>
          <w:highlight w:val="none"/>
          <w:lang w:eastAsia="zh"/>
        </w:rPr>
        <w:t>对接ERP实现</w:t>
      </w:r>
      <w:r>
        <w:rPr>
          <w:rFonts w:hint="eastAsia" w:ascii="宋体" w:hAnsi="宋体" w:eastAsia="宋体" w:cs="宋体"/>
          <w:bCs/>
          <w:color w:val="000000"/>
          <w:sz w:val="24"/>
          <w:szCs w:val="24"/>
          <w:highlight w:val="none"/>
        </w:rPr>
        <w:t>支持</w:t>
      </w:r>
      <w:r>
        <w:rPr>
          <w:rFonts w:hint="eastAsia" w:ascii="宋体" w:hAnsi="宋体" w:eastAsia="宋体" w:cs="宋体"/>
          <w:bCs/>
          <w:color w:val="000000"/>
          <w:sz w:val="24"/>
          <w:szCs w:val="24"/>
          <w:highlight w:val="none"/>
          <w:lang w:eastAsia="zh"/>
        </w:rPr>
        <w:t>查询</w:t>
      </w:r>
      <w:r>
        <w:rPr>
          <w:rFonts w:hint="eastAsia" w:ascii="宋体" w:hAnsi="宋体" w:eastAsia="宋体" w:cs="宋体"/>
          <w:bCs/>
          <w:color w:val="000000"/>
          <w:sz w:val="24"/>
          <w:szCs w:val="24"/>
          <w:highlight w:val="none"/>
        </w:rPr>
        <w:t>盘点</w:t>
      </w:r>
      <w:r>
        <w:rPr>
          <w:rFonts w:hint="eastAsia" w:ascii="宋体" w:hAnsi="宋体" w:eastAsia="宋体" w:cs="宋体"/>
          <w:bCs/>
          <w:color w:val="000000"/>
          <w:sz w:val="24"/>
          <w:szCs w:val="24"/>
          <w:highlight w:val="none"/>
          <w:lang w:eastAsia="zh"/>
        </w:rPr>
        <w:t>结果。</w:t>
      </w:r>
    </w:p>
    <w:p w14:paraId="5549D5FD">
      <w:pPr>
        <w:numPr>
          <w:ilvl w:val="0"/>
          <w:numId w:val="36"/>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实施</w:t>
      </w:r>
      <w:r>
        <w:rPr>
          <w:rFonts w:hint="eastAsia" w:ascii="宋体" w:hAnsi="宋体" w:eastAsia="宋体" w:cs="宋体"/>
          <w:bCs/>
          <w:color w:val="000000"/>
          <w:sz w:val="24"/>
          <w:szCs w:val="24"/>
          <w:highlight w:val="none"/>
          <w:lang w:val="en-US"/>
        </w:rPr>
        <w:t>要点</w:t>
      </w:r>
    </w:p>
    <w:p w14:paraId="505904A8">
      <w:pPr>
        <w:ind w:firstLine="482" w:firstLineChars="200"/>
        <w:rPr>
          <w:rFonts w:hint="eastAsia" w:ascii="宋体" w:hAnsi="宋体" w:eastAsia="宋体" w:cs="宋体"/>
          <w:bCs/>
          <w:color w:val="000000"/>
          <w:sz w:val="24"/>
          <w:szCs w:val="24"/>
          <w:highlight w:val="none"/>
          <w:lang w:val="en-US"/>
        </w:rPr>
      </w:pPr>
      <w:r>
        <w:rPr>
          <w:rFonts w:hint="eastAsia" w:ascii="宋体" w:hAnsi="宋体" w:eastAsia="宋体" w:cs="宋体"/>
          <w:b/>
          <w:color w:val="000000"/>
          <w:sz w:val="24"/>
          <w:szCs w:val="24"/>
          <w:highlight w:val="none"/>
          <w:lang w:val="en-US"/>
        </w:rPr>
        <w:t>质检要求规则：</w:t>
      </w:r>
      <w:r>
        <w:rPr>
          <w:rFonts w:hint="eastAsia" w:ascii="宋体" w:hAnsi="宋体" w:eastAsia="宋体" w:cs="宋体"/>
          <w:bCs/>
          <w:color w:val="000000"/>
          <w:sz w:val="24"/>
          <w:szCs w:val="24"/>
          <w:highlight w:val="none"/>
          <w:lang w:val="en-US"/>
        </w:rPr>
        <w:t>支持</w:t>
      </w:r>
      <w:r>
        <w:rPr>
          <w:rFonts w:hint="eastAsia" w:ascii="宋体" w:hAnsi="宋体" w:eastAsia="宋体" w:cs="宋体"/>
          <w:bCs/>
          <w:color w:val="000000"/>
          <w:sz w:val="24"/>
          <w:szCs w:val="24"/>
          <w:highlight w:val="none"/>
          <w:lang w:eastAsia="zh"/>
        </w:rPr>
        <w:t>对接ERP实现</w:t>
      </w:r>
      <w:r>
        <w:rPr>
          <w:rFonts w:hint="eastAsia" w:ascii="宋体" w:hAnsi="宋体" w:eastAsia="宋体" w:cs="宋体"/>
          <w:bCs/>
          <w:color w:val="000000"/>
          <w:sz w:val="24"/>
          <w:szCs w:val="24"/>
          <w:highlight w:val="none"/>
          <w:lang w:val="en-US"/>
        </w:rPr>
        <w:t>导入质检检验规范。</w:t>
      </w:r>
    </w:p>
    <w:p w14:paraId="099CFDBC">
      <w:pPr>
        <w:pStyle w:val="6"/>
        <w:numPr>
          <w:ilvl w:val="4"/>
          <w:numId w:val="0"/>
        </w:numPr>
        <w:ind w:left="1008" w:leftChars="0" w:hanging="1008" w:firstLineChars="0"/>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lang w:val="en-US"/>
        </w:rPr>
        <w:t>2.4.2 生产</w:t>
      </w:r>
      <w:r>
        <w:rPr>
          <w:rFonts w:hint="eastAsia" w:ascii="宋体" w:hAnsi="宋体" w:eastAsia="宋体" w:cs="宋体"/>
          <w:b w:val="0"/>
          <w:bCs/>
          <w:color w:val="000000"/>
          <w:sz w:val="24"/>
          <w:szCs w:val="24"/>
          <w:highlight w:val="none"/>
        </w:rPr>
        <w:t>执行（S6）</w:t>
      </w:r>
    </w:p>
    <w:p w14:paraId="1F43F51C">
      <w:pPr>
        <w:numPr>
          <w:ilvl w:val="0"/>
          <w:numId w:val="36"/>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核心流程</w:t>
      </w:r>
    </w:p>
    <w:p w14:paraId="62C6E3A9">
      <w:pPr>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过程检验：</w:t>
      </w:r>
      <w:r>
        <w:rPr>
          <w:rFonts w:hint="eastAsia" w:ascii="宋体" w:hAnsi="宋体" w:eastAsia="宋体" w:cs="宋体"/>
          <w:bCs/>
          <w:color w:val="000000"/>
          <w:sz w:val="24"/>
          <w:szCs w:val="24"/>
          <w:highlight w:val="none"/>
          <w:lang w:eastAsia="zh"/>
        </w:rPr>
        <w:t>对接ERP实现</w:t>
      </w:r>
      <w:r>
        <w:rPr>
          <w:rFonts w:hint="eastAsia" w:ascii="宋体" w:hAnsi="宋体" w:eastAsia="宋体" w:cs="宋体"/>
          <w:bCs/>
          <w:color w:val="000000"/>
          <w:sz w:val="24"/>
          <w:szCs w:val="24"/>
          <w:highlight w:val="none"/>
          <w:lang w:val="en-US"/>
        </w:rPr>
        <w:t>查询生产指令单</w:t>
      </w:r>
      <w:r>
        <w:rPr>
          <w:rFonts w:hint="eastAsia" w:ascii="宋体" w:hAnsi="宋体" w:eastAsia="宋体" w:cs="宋体"/>
          <w:bCs/>
          <w:color w:val="000000"/>
          <w:sz w:val="24"/>
          <w:szCs w:val="24"/>
          <w:highlight w:val="none"/>
          <w:lang w:val="en-US" w:eastAsia="zh"/>
        </w:rPr>
        <w:t>和</w:t>
      </w:r>
      <w:r>
        <w:rPr>
          <w:rFonts w:hint="eastAsia" w:ascii="宋体" w:hAnsi="宋体" w:eastAsia="宋体" w:cs="宋体"/>
          <w:bCs/>
          <w:color w:val="000000"/>
          <w:sz w:val="24"/>
          <w:szCs w:val="24"/>
          <w:highlight w:val="none"/>
          <w:lang w:val="en-US"/>
        </w:rPr>
        <w:t>检验</w:t>
      </w:r>
      <w:r>
        <w:rPr>
          <w:rFonts w:hint="eastAsia" w:ascii="宋体" w:hAnsi="宋体" w:eastAsia="宋体" w:cs="宋体"/>
          <w:bCs/>
          <w:color w:val="000000"/>
          <w:sz w:val="24"/>
          <w:szCs w:val="24"/>
          <w:highlight w:val="none"/>
        </w:rPr>
        <w:t>结果；</w:t>
      </w:r>
    </w:p>
    <w:p w14:paraId="7E37E3D7">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工序汇报：</w:t>
      </w:r>
      <w:r>
        <w:rPr>
          <w:rFonts w:hint="eastAsia" w:ascii="宋体" w:hAnsi="宋体" w:eastAsia="宋体" w:cs="宋体"/>
          <w:bCs/>
          <w:color w:val="000000"/>
          <w:sz w:val="24"/>
          <w:szCs w:val="24"/>
          <w:highlight w:val="none"/>
          <w:lang w:eastAsia="zh"/>
        </w:rPr>
        <w:t>对接ERP实现查询工序</w:t>
      </w:r>
      <w:r>
        <w:rPr>
          <w:rFonts w:hint="eastAsia" w:ascii="宋体" w:hAnsi="宋体" w:eastAsia="宋体" w:cs="宋体"/>
          <w:bCs/>
          <w:color w:val="000000"/>
          <w:sz w:val="24"/>
          <w:szCs w:val="24"/>
          <w:highlight w:val="none"/>
        </w:rPr>
        <w:t>汇报（数量、工时、设备编号）；</w:t>
      </w:r>
    </w:p>
    <w:p w14:paraId="1B3234CF">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异常处理：</w:t>
      </w:r>
      <w:r>
        <w:rPr>
          <w:rFonts w:hint="eastAsia" w:ascii="宋体" w:hAnsi="宋体" w:eastAsia="宋体" w:cs="宋体"/>
          <w:bCs/>
          <w:color w:val="000000"/>
          <w:sz w:val="24"/>
          <w:szCs w:val="24"/>
          <w:highlight w:val="none"/>
          <w:lang w:eastAsia="zh"/>
        </w:rPr>
        <w:t>对接ERP实现</w:t>
      </w:r>
      <w:r>
        <w:rPr>
          <w:rFonts w:hint="eastAsia" w:ascii="宋体" w:hAnsi="宋体" w:eastAsia="宋体" w:cs="宋体"/>
          <w:bCs/>
          <w:color w:val="000000"/>
          <w:sz w:val="24"/>
          <w:szCs w:val="24"/>
          <w:highlight w:val="none"/>
        </w:rPr>
        <w:t>通过安灯系统（ANDON）</w:t>
      </w:r>
      <w:r>
        <w:rPr>
          <w:rFonts w:hint="eastAsia" w:ascii="宋体" w:hAnsi="宋体" w:eastAsia="宋体" w:cs="宋体"/>
          <w:bCs/>
          <w:color w:val="000000"/>
          <w:sz w:val="24"/>
          <w:szCs w:val="24"/>
          <w:highlight w:val="none"/>
          <w:lang w:val="en-US"/>
        </w:rPr>
        <w:t>填报故障</w:t>
      </w:r>
      <w:r>
        <w:rPr>
          <w:rFonts w:hint="eastAsia" w:ascii="宋体" w:hAnsi="宋体" w:eastAsia="宋体" w:cs="宋体"/>
          <w:bCs/>
          <w:color w:val="000000"/>
          <w:sz w:val="24"/>
          <w:szCs w:val="24"/>
          <w:highlight w:val="none"/>
        </w:rPr>
        <w:t>，维修人员</w:t>
      </w:r>
      <w:r>
        <w:rPr>
          <w:rFonts w:hint="eastAsia" w:ascii="宋体" w:hAnsi="宋体" w:eastAsia="宋体" w:cs="宋体"/>
          <w:bCs/>
          <w:color w:val="000000"/>
          <w:sz w:val="24"/>
          <w:szCs w:val="24"/>
          <w:highlight w:val="none"/>
          <w:lang w:val="en-US"/>
        </w:rPr>
        <w:t>可以自主查看异常信息、支持</w:t>
      </w:r>
      <w:r>
        <w:rPr>
          <w:rFonts w:hint="eastAsia" w:ascii="宋体" w:hAnsi="宋体" w:eastAsia="宋体" w:cs="宋体"/>
          <w:bCs/>
          <w:sz w:val="24"/>
          <w:szCs w:val="24"/>
          <w:highlight w:val="none"/>
          <w:lang w:val="en-US"/>
        </w:rPr>
        <w:t>系统推送</w:t>
      </w:r>
      <w:r>
        <w:rPr>
          <w:rFonts w:hint="eastAsia" w:ascii="宋体" w:hAnsi="宋体" w:eastAsia="宋体" w:cs="宋体"/>
          <w:bCs/>
          <w:color w:val="000000"/>
          <w:sz w:val="24"/>
          <w:szCs w:val="24"/>
          <w:highlight w:val="none"/>
        </w:rPr>
        <w:t>（响应时间≤15分钟）。</w:t>
      </w:r>
    </w:p>
    <w:p w14:paraId="58388B7B">
      <w:pPr>
        <w:numPr>
          <w:ilvl w:val="0"/>
          <w:numId w:val="36"/>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实施要点</w:t>
      </w:r>
    </w:p>
    <w:p w14:paraId="02B67FD7">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lang w:val="en-US"/>
        </w:rPr>
        <w:t>设备管理：</w:t>
      </w:r>
      <w:r>
        <w:rPr>
          <w:rFonts w:hint="eastAsia" w:ascii="宋体" w:hAnsi="宋体" w:eastAsia="宋体" w:cs="宋体"/>
          <w:bCs/>
          <w:color w:val="000000"/>
          <w:sz w:val="24"/>
          <w:szCs w:val="24"/>
          <w:highlight w:val="none"/>
          <w:lang w:eastAsia="zh"/>
        </w:rPr>
        <w:t>对接ERP实现统计设备OEE</w:t>
      </w:r>
      <w:r>
        <w:rPr>
          <w:rFonts w:hint="eastAsia" w:ascii="宋体" w:hAnsi="宋体" w:eastAsia="宋体" w:cs="宋体"/>
          <w:bCs/>
          <w:color w:val="000000"/>
          <w:sz w:val="24"/>
          <w:szCs w:val="24"/>
          <w:highlight w:val="none"/>
        </w:rPr>
        <w:t>；</w:t>
      </w:r>
    </w:p>
    <w:p w14:paraId="4499E008">
      <w:pPr>
        <w:pStyle w:val="6"/>
        <w:numPr>
          <w:ilvl w:val="4"/>
          <w:numId w:val="0"/>
        </w:numPr>
        <w:ind w:left="1008" w:leftChars="0" w:hanging="1008" w:firstLineChars="0"/>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lang w:val="en-US"/>
        </w:rPr>
        <w:t xml:space="preserve">2.4.3 </w:t>
      </w:r>
      <w:r>
        <w:rPr>
          <w:rFonts w:hint="eastAsia" w:ascii="宋体" w:hAnsi="宋体" w:eastAsia="宋体" w:cs="宋体"/>
          <w:b w:val="0"/>
          <w:bCs/>
          <w:color w:val="000000"/>
          <w:sz w:val="24"/>
          <w:szCs w:val="24"/>
          <w:highlight w:val="none"/>
        </w:rPr>
        <w:t>成品仓储（S7）</w:t>
      </w:r>
    </w:p>
    <w:p w14:paraId="21F1404E">
      <w:pPr>
        <w:numPr>
          <w:ilvl w:val="0"/>
          <w:numId w:val="36"/>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核心功能</w:t>
      </w:r>
    </w:p>
    <w:p w14:paraId="5926EFDA">
      <w:pPr>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成品检验：</w:t>
      </w:r>
      <w:r>
        <w:rPr>
          <w:rFonts w:hint="eastAsia" w:ascii="宋体" w:hAnsi="宋体" w:eastAsia="宋体" w:cs="宋体"/>
          <w:bCs/>
          <w:color w:val="000000"/>
          <w:sz w:val="24"/>
          <w:szCs w:val="24"/>
          <w:highlight w:val="none"/>
          <w:lang w:eastAsia="zh"/>
        </w:rPr>
        <w:t>对接ERP实现查询成品检验数据</w:t>
      </w:r>
      <w:r>
        <w:rPr>
          <w:rFonts w:hint="eastAsia" w:ascii="宋体" w:hAnsi="宋体" w:eastAsia="宋体" w:cs="宋体"/>
          <w:bCs/>
          <w:color w:val="000000"/>
          <w:sz w:val="24"/>
          <w:szCs w:val="24"/>
          <w:highlight w:val="none"/>
        </w:rPr>
        <w:t>。</w:t>
      </w:r>
    </w:p>
    <w:p w14:paraId="3F941ECF">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成品入库：</w:t>
      </w:r>
      <w:r>
        <w:rPr>
          <w:rFonts w:hint="eastAsia" w:ascii="宋体" w:hAnsi="宋体" w:eastAsia="宋体" w:cs="宋体"/>
          <w:bCs/>
          <w:color w:val="000000"/>
          <w:sz w:val="24"/>
          <w:szCs w:val="24"/>
          <w:highlight w:val="none"/>
          <w:lang w:eastAsia="zh"/>
        </w:rPr>
        <w:t>对接ERP实现</w:t>
      </w:r>
      <w:r>
        <w:rPr>
          <w:rFonts w:hint="eastAsia" w:ascii="宋体" w:hAnsi="宋体" w:eastAsia="宋体" w:cs="宋体"/>
          <w:bCs/>
          <w:color w:val="000000"/>
          <w:sz w:val="24"/>
          <w:szCs w:val="24"/>
          <w:highlight w:val="none"/>
        </w:rPr>
        <w:t>生产完工后，</w:t>
      </w:r>
      <w:r>
        <w:rPr>
          <w:rFonts w:hint="eastAsia" w:ascii="宋体" w:hAnsi="宋体" w:eastAsia="宋体" w:cs="宋体"/>
          <w:bCs/>
          <w:color w:val="000000"/>
          <w:sz w:val="24"/>
          <w:szCs w:val="24"/>
          <w:highlight w:val="none"/>
          <w:lang w:eastAsia="zh"/>
        </w:rPr>
        <w:t>查询</w:t>
      </w:r>
      <w:r>
        <w:rPr>
          <w:rFonts w:hint="eastAsia" w:ascii="宋体" w:hAnsi="宋体" w:eastAsia="宋体" w:cs="宋体"/>
          <w:bCs/>
          <w:color w:val="000000"/>
          <w:sz w:val="24"/>
          <w:szCs w:val="24"/>
          <w:highlight w:val="none"/>
        </w:rPr>
        <w:t>入库</w:t>
      </w:r>
      <w:r>
        <w:rPr>
          <w:rFonts w:hint="eastAsia" w:ascii="宋体" w:hAnsi="宋体" w:eastAsia="宋体" w:cs="宋体"/>
          <w:bCs/>
          <w:color w:val="000000"/>
          <w:sz w:val="24"/>
          <w:szCs w:val="24"/>
          <w:highlight w:val="none"/>
          <w:lang w:val="en-US"/>
        </w:rPr>
        <w:t>申请</w:t>
      </w:r>
      <w:r>
        <w:rPr>
          <w:rFonts w:hint="eastAsia" w:ascii="宋体" w:hAnsi="宋体" w:eastAsia="宋体" w:cs="宋体"/>
          <w:bCs/>
          <w:color w:val="000000"/>
          <w:sz w:val="24"/>
          <w:szCs w:val="24"/>
          <w:highlight w:val="none"/>
        </w:rPr>
        <w:t>（关联生产工单、质检报告）</w:t>
      </w:r>
      <w:r>
        <w:rPr>
          <w:rFonts w:hint="eastAsia" w:ascii="宋体" w:hAnsi="宋体" w:eastAsia="宋体" w:cs="宋体"/>
          <w:bCs/>
          <w:color w:val="000000"/>
          <w:sz w:val="24"/>
          <w:szCs w:val="24"/>
          <w:highlight w:val="none"/>
          <w:lang w:val="en-US"/>
        </w:rPr>
        <w:t>关联成品检验</w:t>
      </w:r>
      <w:r>
        <w:rPr>
          <w:rFonts w:hint="eastAsia" w:ascii="宋体" w:hAnsi="宋体" w:eastAsia="宋体" w:cs="宋体"/>
          <w:bCs/>
          <w:color w:val="000000"/>
          <w:sz w:val="24"/>
          <w:szCs w:val="24"/>
          <w:highlight w:val="none"/>
        </w:rPr>
        <w:t>；</w:t>
      </w:r>
    </w:p>
    <w:p w14:paraId="4C477E38">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销售出库：</w:t>
      </w:r>
      <w:r>
        <w:rPr>
          <w:rFonts w:hint="eastAsia" w:ascii="宋体" w:hAnsi="宋体" w:eastAsia="宋体" w:cs="宋体"/>
          <w:bCs/>
          <w:color w:val="000000"/>
          <w:sz w:val="24"/>
          <w:szCs w:val="24"/>
          <w:highlight w:val="none"/>
          <w:lang w:eastAsia="zh"/>
        </w:rPr>
        <w:t>对接ERP实现查询销售</w:t>
      </w:r>
      <w:r>
        <w:rPr>
          <w:rFonts w:hint="eastAsia" w:ascii="宋体" w:hAnsi="宋体" w:eastAsia="宋体" w:cs="宋体"/>
          <w:bCs/>
          <w:color w:val="000000"/>
          <w:sz w:val="24"/>
          <w:szCs w:val="24"/>
          <w:highlight w:val="none"/>
        </w:rPr>
        <w:t>出库单</w:t>
      </w:r>
      <w:r>
        <w:rPr>
          <w:rFonts w:hint="eastAsia" w:ascii="宋体" w:hAnsi="宋体" w:eastAsia="宋体" w:cs="宋体"/>
          <w:bCs/>
          <w:color w:val="000000"/>
          <w:sz w:val="24"/>
          <w:szCs w:val="24"/>
          <w:highlight w:val="none"/>
          <w:lang w:eastAsia="zh"/>
        </w:rPr>
        <w:t>和</w:t>
      </w:r>
      <w:r>
        <w:rPr>
          <w:rFonts w:hint="eastAsia" w:ascii="宋体" w:hAnsi="宋体" w:eastAsia="宋体" w:cs="宋体"/>
          <w:bCs/>
          <w:color w:val="000000"/>
          <w:sz w:val="24"/>
          <w:szCs w:val="24"/>
          <w:highlight w:val="none"/>
          <w:lang w:val="en-US"/>
        </w:rPr>
        <w:t>发货</w:t>
      </w:r>
      <w:r>
        <w:rPr>
          <w:rFonts w:hint="eastAsia" w:ascii="宋体" w:hAnsi="宋体" w:eastAsia="宋体" w:cs="宋体"/>
          <w:bCs/>
          <w:color w:val="000000"/>
          <w:sz w:val="24"/>
          <w:szCs w:val="24"/>
          <w:highlight w:val="none"/>
          <w:lang w:val="en-US" w:eastAsia="zh"/>
        </w:rPr>
        <w:t>数据</w:t>
      </w:r>
      <w:r>
        <w:rPr>
          <w:rFonts w:hint="eastAsia" w:ascii="宋体" w:hAnsi="宋体" w:eastAsia="宋体" w:cs="宋体"/>
          <w:bCs/>
          <w:color w:val="000000"/>
          <w:sz w:val="24"/>
          <w:szCs w:val="24"/>
          <w:highlight w:val="none"/>
        </w:rPr>
        <w:t>；</w:t>
      </w:r>
    </w:p>
    <w:p w14:paraId="3F83025E">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售后追溯：</w:t>
      </w:r>
      <w:r>
        <w:rPr>
          <w:rFonts w:hint="eastAsia" w:ascii="宋体" w:hAnsi="宋体" w:eastAsia="宋体" w:cs="宋体"/>
          <w:bCs/>
          <w:color w:val="000000"/>
          <w:sz w:val="24"/>
          <w:szCs w:val="24"/>
          <w:highlight w:val="none"/>
          <w:lang w:eastAsia="zh"/>
        </w:rPr>
        <w:t>对接ERP实现查询</w:t>
      </w:r>
      <w:r>
        <w:rPr>
          <w:rFonts w:hint="eastAsia" w:ascii="宋体" w:hAnsi="宋体" w:eastAsia="宋体" w:cs="宋体"/>
          <w:bCs/>
          <w:color w:val="000000"/>
          <w:sz w:val="24"/>
          <w:szCs w:val="24"/>
          <w:highlight w:val="none"/>
        </w:rPr>
        <w:t>成品序列号（含生产批次、物料批次），可追溯至原材料</w:t>
      </w:r>
      <w:r>
        <w:rPr>
          <w:rFonts w:hint="eastAsia" w:ascii="宋体" w:hAnsi="宋体" w:eastAsia="宋体" w:cs="宋体"/>
          <w:bCs/>
          <w:color w:val="000000"/>
          <w:sz w:val="24"/>
          <w:szCs w:val="24"/>
          <w:highlight w:val="none"/>
          <w:lang w:val="en-US"/>
        </w:rPr>
        <w:t>批次号</w:t>
      </w:r>
      <w:r>
        <w:rPr>
          <w:rFonts w:hint="eastAsia" w:ascii="宋体" w:hAnsi="宋体" w:eastAsia="宋体" w:cs="宋体"/>
          <w:bCs/>
          <w:color w:val="000000"/>
          <w:sz w:val="24"/>
          <w:szCs w:val="24"/>
          <w:highlight w:val="none"/>
        </w:rPr>
        <w:t>、生产操作工</w:t>
      </w:r>
      <w:r>
        <w:rPr>
          <w:rFonts w:hint="eastAsia" w:ascii="宋体" w:hAnsi="宋体" w:eastAsia="宋体" w:cs="宋体"/>
          <w:bCs/>
          <w:color w:val="000000"/>
          <w:sz w:val="24"/>
          <w:szCs w:val="24"/>
          <w:highlight w:val="none"/>
          <w:lang w:val="en-US"/>
        </w:rPr>
        <w:t>号</w:t>
      </w:r>
      <w:r>
        <w:rPr>
          <w:rFonts w:hint="eastAsia" w:ascii="宋体" w:hAnsi="宋体" w:eastAsia="宋体" w:cs="宋体"/>
          <w:bCs/>
          <w:color w:val="000000"/>
          <w:sz w:val="24"/>
          <w:szCs w:val="24"/>
          <w:highlight w:val="none"/>
        </w:rPr>
        <w:t>、检验员。</w:t>
      </w:r>
    </w:p>
    <w:p w14:paraId="56892B88">
      <w:pPr>
        <w:numPr>
          <w:ilvl w:val="0"/>
          <w:numId w:val="36"/>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实施要点</w:t>
      </w:r>
    </w:p>
    <w:p w14:paraId="3D4914B6">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lang w:val="en-US"/>
        </w:rPr>
        <w:t>唯一标识：</w:t>
      </w:r>
      <w:r>
        <w:rPr>
          <w:rFonts w:hint="eastAsia" w:ascii="宋体" w:hAnsi="宋体" w:eastAsia="宋体" w:cs="宋体"/>
          <w:bCs/>
          <w:color w:val="000000"/>
          <w:sz w:val="24"/>
          <w:szCs w:val="24"/>
          <w:highlight w:val="none"/>
          <w:lang w:eastAsia="zh"/>
        </w:rPr>
        <w:t>对接ERP实现</w:t>
      </w:r>
      <w:r>
        <w:rPr>
          <w:rFonts w:hint="eastAsia" w:ascii="宋体" w:hAnsi="宋体" w:eastAsia="宋体" w:cs="宋体"/>
          <w:bCs/>
          <w:color w:val="000000"/>
          <w:sz w:val="24"/>
          <w:szCs w:val="24"/>
          <w:highlight w:val="none"/>
        </w:rPr>
        <w:t>成品包装</w:t>
      </w:r>
      <w:r>
        <w:rPr>
          <w:rFonts w:hint="eastAsia" w:ascii="宋体" w:hAnsi="宋体" w:eastAsia="宋体" w:cs="宋体"/>
          <w:bCs/>
          <w:color w:val="000000"/>
          <w:sz w:val="24"/>
          <w:szCs w:val="24"/>
          <w:highlight w:val="none"/>
          <w:lang w:eastAsia="zh"/>
        </w:rPr>
        <w:t>查询</w:t>
      </w:r>
      <w:r>
        <w:rPr>
          <w:rFonts w:hint="eastAsia" w:ascii="宋体" w:hAnsi="宋体" w:eastAsia="宋体" w:cs="宋体"/>
          <w:bCs/>
          <w:color w:val="000000"/>
          <w:sz w:val="24"/>
          <w:szCs w:val="24"/>
          <w:highlight w:val="none"/>
        </w:rPr>
        <w:t>唯一序列号标签（支持扫码查溯源信息）；</w:t>
      </w:r>
    </w:p>
    <w:p w14:paraId="3BE98F6F">
      <w:pPr>
        <w:pStyle w:val="5"/>
        <w:numPr>
          <w:ilvl w:val="3"/>
          <w:numId w:val="0"/>
        </w:numPr>
        <w:ind w:left="397" w:leftChars="-52" w:right="220" w:rightChars="0" w:hanging="506" w:hangingChars="210"/>
        <w:rPr>
          <w:rFonts w:hint="eastAsia" w:ascii="宋体" w:hAnsi="宋体" w:eastAsia="宋体" w:cs="宋体"/>
          <w:b/>
          <w:sz w:val="24"/>
          <w:szCs w:val="24"/>
          <w:highlight w:val="none"/>
          <w:lang w:val="en-US"/>
        </w:rPr>
      </w:pPr>
      <w:r>
        <w:rPr>
          <w:rFonts w:hint="eastAsia" w:ascii="宋体" w:hAnsi="宋体" w:eastAsia="宋体" w:cs="宋体"/>
          <w:b/>
          <w:sz w:val="24"/>
          <w:szCs w:val="24"/>
          <w:highlight w:val="none"/>
          <w:lang w:val="en-US"/>
        </w:rPr>
        <w:t>2.5 全流程异常监控</w:t>
      </w:r>
    </w:p>
    <w:p w14:paraId="04475E55">
      <w:pPr>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w:t>
      </w:r>
      <w:r>
        <w:rPr>
          <w:rFonts w:hint="eastAsia" w:ascii="宋体" w:hAnsi="宋体" w:eastAsia="宋体" w:cs="宋体"/>
          <w:b/>
          <w:color w:val="000000"/>
          <w:sz w:val="24"/>
          <w:szCs w:val="24"/>
          <w:highlight w:val="none"/>
          <w:lang w:val="en-US"/>
        </w:rPr>
        <w:t>1</w:t>
      </w:r>
      <w:r>
        <w:rPr>
          <w:rFonts w:hint="eastAsia" w:ascii="宋体" w:hAnsi="宋体" w:eastAsia="宋体" w:cs="宋体"/>
          <w:b/>
          <w:color w:val="000000"/>
          <w:sz w:val="24"/>
          <w:szCs w:val="24"/>
          <w:highlight w:val="none"/>
        </w:rPr>
        <w:t>）核心目标</w:t>
      </w:r>
    </w:p>
    <w:p w14:paraId="1117DD68">
      <w:pPr>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监控供应商交付延期、物料/工件质量不合格、操作人效不达标等全流程异常，实现异常事件的即时提报、响应与处理闭环。</w:t>
      </w:r>
    </w:p>
    <w:p w14:paraId="021B6E92">
      <w:pPr>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w:t>
      </w:r>
      <w:r>
        <w:rPr>
          <w:rFonts w:hint="eastAsia" w:ascii="宋体" w:hAnsi="宋体" w:eastAsia="宋体" w:cs="宋体"/>
          <w:b/>
          <w:color w:val="000000"/>
          <w:sz w:val="24"/>
          <w:szCs w:val="24"/>
          <w:highlight w:val="none"/>
          <w:lang w:val="en-US"/>
        </w:rPr>
        <w:t>2</w:t>
      </w:r>
      <w:r>
        <w:rPr>
          <w:rFonts w:hint="eastAsia" w:ascii="宋体" w:hAnsi="宋体" w:eastAsia="宋体" w:cs="宋体"/>
          <w:b/>
          <w:color w:val="000000"/>
          <w:sz w:val="24"/>
          <w:szCs w:val="24"/>
          <w:highlight w:val="none"/>
        </w:rPr>
        <w:t>）详细实施内容</w:t>
      </w:r>
    </w:p>
    <w:p w14:paraId="0F7B038F">
      <w:pPr>
        <w:pStyle w:val="6"/>
        <w:numPr>
          <w:ilvl w:val="4"/>
          <w:numId w:val="0"/>
        </w:numPr>
        <w:ind w:left="1008" w:leftChars="0" w:hanging="1008" w:firstLineChars="0"/>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lang w:val="en-US"/>
        </w:rPr>
        <w:t xml:space="preserve">2.5.1 </w:t>
      </w:r>
      <w:r>
        <w:rPr>
          <w:rFonts w:hint="eastAsia" w:ascii="宋体" w:hAnsi="宋体" w:eastAsia="宋体" w:cs="宋体"/>
          <w:b w:val="0"/>
          <w:bCs/>
          <w:color w:val="000000"/>
          <w:sz w:val="24"/>
          <w:szCs w:val="24"/>
          <w:highlight w:val="none"/>
        </w:rPr>
        <w:t>全流程</w:t>
      </w:r>
      <w:r>
        <w:rPr>
          <w:rFonts w:hint="eastAsia" w:ascii="宋体" w:hAnsi="宋体" w:eastAsia="宋体" w:cs="宋体"/>
          <w:b w:val="0"/>
          <w:bCs/>
          <w:color w:val="000000"/>
          <w:sz w:val="24"/>
          <w:szCs w:val="24"/>
          <w:highlight w:val="none"/>
          <w:lang w:val="en-US"/>
        </w:rPr>
        <w:t>异常监控</w:t>
      </w:r>
      <w:r>
        <w:rPr>
          <w:rFonts w:hint="eastAsia" w:ascii="宋体" w:hAnsi="宋体" w:eastAsia="宋体" w:cs="宋体"/>
          <w:b w:val="0"/>
          <w:bCs/>
          <w:color w:val="000000"/>
          <w:sz w:val="24"/>
          <w:szCs w:val="24"/>
          <w:highlight w:val="none"/>
        </w:rPr>
        <w:t>（S</w:t>
      </w:r>
      <w:r>
        <w:rPr>
          <w:rFonts w:hint="eastAsia" w:ascii="宋体" w:hAnsi="宋体" w:eastAsia="宋体" w:cs="宋体"/>
          <w:b w:val="0"/>
          <w:bCs/>
          <w:color w:val="000000"/>
          <w:sz w:val="24"/>
          <w:szCs w:val="24"/>
          <w:highlight w:val="none"/>
          <w:lang w:val="en-US"/>
        </w:rPr>
        <w:t>8</w:t>
      </w:r>
      <w:r>
        <w:rPr>
          <w:rFonts w:hint="eastAsia" w:ascii="宋体" w:hAnsi="宋体" w:eastAsia="宋体" w:cs="宋体"/>
          <w:b w:val="0"/>
          <w:bCs/>
          <w:color w:val="000000"/>
          <w:sz w:val="24"/>
          <w:szCs w:val="24"/>
          <w:highlight w:val="none"/>
        </w:rPr>
        <w:t>）</w:t>
      </w:r>
    </w:p>
    <w:p w14:paraId="6AD148AD">
      <w:pPr>
        <w:numPr>
          <w:ilvl w:val="0"/>
          <w:numId w:val="39"/>
        </w:numP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val="en-US"/>
        </w:rPr>
        <w:t>核心功能</w:t>
      </w:r>
    </w:p>
    <w:p w14:paraId="0EA41F33">
      <w:pPr>
        <w:numPr>
          <w:ilvl w:val="0"/>
          <w:numId w:val="40"/>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异常类型与监控</w:t>
      </w:r>
    </w:p>
    <w:p w14:paraId="5599F0D0">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供应商异常：</w:t>
      </w:r>
      <w:r>
        <w:rPr>
          <w:rFonts w:hint="eastAsia" w:ascii="宋体" w:hAnsi="宋体" w:eastAsia="宋体" w:cs="宋体"/>
          <w:bCs/>
          <w:color w:val="000000"/>
          <w:sz w:val="24"/>
          <w:szCs w:val="24"/>
          <w:highlight w:val="none"/>
        </w:rPr>
        <w:t>交付延期、物料不合格（通过采购订单跟踪）；</w:t>
      </w:r>
    </w:p>
    <w:p w14:paraId="0E9EF446">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生产异常：</w:t>
      </w:r>
      <w:r>
        <w:rPr>
          <w:rFonts w:hint="eastAsia" w:ascii="宋体" w:hAnsi="宋体" w:eastAsia="宋体" w:cs="宋体"/>
          <w:color w:val="000000"/>
          <w:sz w:val="24"/>
          <w:szCs w:val="24"/>
          <w:highlight w:val="none"/>
          <w:lang w:eastAsia="zh"/>
        </w:rPr>
        <w:t>生产产能</w:t>
      </w:r>
      <w:r>
        <w:rPr>
          <w:rFonts w:hint="eastAsia" w:ascii="宋体" w:hAnsi="宋体" w:eastAsia="宋体" w:cs="宋体"/>
          <w:bCs/>
          <w:color w:val="000000"/>
          <w:sz w:val="24"/>
          <w:szCs w:val="24"/>
          <w:highlight w:val="none"/>
        </w:rPr>
        <w:t>；</w:t>
      </w:r>
    </w:p>
    <w:p w14:paraId="7349AE10">
      <w:pPr>
        <w:ind w:firstLine="482" w:firstLineChars="200"/>
        <w:rPr>
          <w:rFonts w:hint="eastAsia" w:ascii="宋体" w:hAnsi="宋体" w:eastAsia="宋体" w:cs="宋体"/>
          <w:bCs/>
          <w:color w:val="000000"/>
          <w:sz w:val="24"/>
          <w:szCs w:val="24"/>
          <w:highlight w:val="none"/>
          <w:lang w:eastAsia="zh"/>
        </w:rPr>
      </w:pPr>
      <w:r>
        <w:rPr>
          <w:rFonts w:hint="eastAsia" w:ascii="宋体" w:hAnsi="宋体" w:eastAsia="宋体" w:cs="宋体"/>
          <w:b/>
          <w:color w:val="000000"/>
          <w:sz w:val="24"/>
          <w:szCs w:val="24"/>
          <w:highlight w:val="none"/>
        </w:rPr>
        <w:t>质量异常：</w:t>
      </w:r>
      <w:r>
        <w:rPr>
          <w:rFonts w:hint="eastAsia" w:ascii="宋体" w:hAnsi="宋体" w:eastAsia="宋体" w:cs="宋体"/>
          <w:bCs/>
          <w:color w:val="000000"/>
          <w:sz w:val="24"/>
          <w:szCs w:val="24"/>
          <w:highlight w:val="none"/>
        </w:rPr>
        <w:t>检验不合格</w:t>
      </w:r>
      <w:r>
        <w:rPr>
          <w:rFonts w:hint="eastAsia" w:ascii="宋体" w:hAnsi="宋体" w:eastAsia="宋体" w:cs="宋体"/>
          <w:bCs/>
          <w:color w:val="000000"/>
          <w:sz w:val="24"/>
          <w:szCs w:val="24"/>
          <w:highlight w:val="none"/>
          <w:lang w:eastAsia="zh"/>
        </w:rPr>
        <w:t>；</w:t>
      </w:r>
    </w:p>
    <w:p w14:paraId="47D12ACF">
      <w:pPr>
        <w:numPr>
          <w:ilvl w:val="0"/>
          <w:numId w:val="40"/>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异常处理流程</w:t>
      </w:r>
    </w:p>
    <w:p w14:paraId="135D3869">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异常提报：</w:t>
      </w:r>
      <w:r>
        <w:rPr>
          <w:rFonts w:hint="eastAsia" w:ascii="宋体" w:hAnsi="宋体" w:eastAsia="宋体" w:cs="宋体"/>
          <w:bCs/>
          <w:color w:val="000000"/>
          <w:sz w:val="24"/>
          <w:szCs w:val="24"/>
          <w:highlight w:val="none"/>
        </w:rPr>
        <w:t>系统自动</w:t>
      </w:r>
      <w:r>
        <w:rPr>
          <w:rFonts w:hint="eastAsia" w:ascii="宋体" w:hAnsi="宋体" w:eastAsia="宋体" w:cs="宋体"/>
          <w:bCs/>
          <w:color w:val="000000"/>
          <w:sz w:val="24"/>
          <w:szCs w:val="24"/>
          <w:highlight w:val="none"/>
          <w:lang w:val="en-US"/>
        </w:rPr>
        <w:t>触发</w:t>
      </w:r>
      <w:r>
        <w:rPr>
          <w:rFonts w:hint="eastAsia" w:ascii="宋体" w:hAnsi="宋体" w:eastAsia="宋体" w:cs="宋体"/>
          <w:bCs/>
          <w:color w:val="000000"/>
          <w:sz w:val="24"/>
          <w:szCs w:val="24"/>
          <w:highlight w:val="none"/>
        </w:rPr>
        <w:t>或员工手动提报，明确异常类型、影响范围；</w:t>
      </w:r>
    </w:p>
    <w:p w14:paraId="5E6DFC79">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分级响应：</w:t>
      </w:r>
      <w:r>
        <w:rPr>
          <w:rFonts w:hint="eastAsia" w:ascii="宋体" w:hAnsi="宋体" w:eastAsia="宋体" w:cs="宋体"/>
          <w:bCs/>
          <w:color w:val="000000"/>
          <w:sz w:val="24"/>
          <w:szCs w:val="24"/>
          <w:highlight w:val="none"/>
        </w:rPr>
        <w:t>按严重程度分级（一般/重要/紧急），紧急异常需1小时内响应；</w:t>
      </w:r>
    </w:p>
    <w:p w14:paraId="0CF3B0EA">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处理闭环：</w:t>
      </w:r>
      <w:r>
        <w:rPr>
          <w:rFonts w:hint="eastAsia" w:ascii="宋体" w:hAnsi="宋体" w:eastAsia="宋体" w:cs="宋体"/>
          <w:bCs/>
          <w:color w:val="000000"/>
          <w:sz w:val="24"/>
          <w:szCs w:val="24"/>
          <w:highlight w:val="none"/>
        </w:rPr>
        <w:t>责任人录入处理措施和结果</w:t>
      </w:r>
    </w:p>
    <w:p w14:paraId="4C49C3EA">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lang w:val="en-US"/>
        </w:rPr>
        <w:t>AI智能体</w:t>
      </w:r>
      <w:r>
        <w:rPr>
          <w:rFonts w:hint="eastAsia" w:ascii="宋体" w:hAnsi="宋体" w:eastAsia="宋体" w:cs="宋体"/>
          <w:bCs/>
          <w:color w:val="000000"/>
          <w:sz w:val="24"/>
          <w:szCs w:val="24"/>
          <w:highlight w:val="none"/>
        </w:rPr>
        <w:t>：引入AI智能体集群实现从数据输入到事件响应的全流程自动化闭环。实现7x24小时实时感知工厂状态，识别异常模式并生成预警，驱动责任人及时闭环处理。</w:t>
      </w:r>
    </w:p>
    <w:p w14:paraId="7DFC44F3">
      <w:pPr>
        <w:pStyle w:val="5"/>
        <w:numPr>
          <w:ilvl w:val="3"/>
          <w:numId w:val="0"/>
        </w:numPr>
        <w:ind w:left="397" w:leftChars="-52" w:right="220" w:rightChars="0" w:hanging="506" w:hangingChars="210"/>
        <w:rPr>
          <w:rFonts w:hint="eastAsia" w:ascii="宋体" w:hAnsi="宋体" w:eastAsia="宋体" w:cs="宋体"/>
          <w:b/>
          <w:bCs w:val="0"/>
          <w:color w:val="000000"/>
          <w:sz w:val="24"/>
          <w:szCs w:val="24"/>
          <w:highlight w:val="none"/>
          <w:lang w:eastAsia="zh-CN"/>
        </w:rPr>
      </w:pPr>
      <w:r>
        <w:rPr>
          <w:rFonts w:hint="eastAsia" w:ascii="宋体" w:hAnsi="宋体" w:eastAsia="宋体" w:cs="宋体"/>
          <w:b/>
          <w:bCs w:val="0"/>
          <w:color w:val="000000"/>
          <w:sz w:val="24"/>
          <w:szCs w:val="24"/>
          <w:highlight w:val="none"/>
          <w:lang w:val="en-US"/>
        </w:rPr>
        <w:t xml:space="preserve">2.6 </w:t>
      </w:r>
      <w:r>
        <w:rPr>
          <w:rFonts w:hint="eastAsia" w:ascii="宋体" w:hAnsi="宋体" w:eastAsia="宋体" w:cs="宋体"/>
          <w:b/>
          <w:bCs w:val="0"/>
          <w:color w:val="000000"/>
          <w:sz w:val="24"/>
          <w:szCs w:val="24"/>
          <w:highlight w:val="none"/>
          <w:lang w:val="en-US" w:eastAsia="zh-CN"/>
        </w:rPr>
        <w:t>运营绩效指标测量（S9）</w:t>
      </w:r>
    </w:p>
    <w:p w14:paraId="0D532EED">
      <w:pP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w:t>
      </w:r>
      <w:r>
        <w:rPr>
          <w:rFonts w:hint="eastAsia" w:ascii="宋体" w:hAnsi="宋体" w:eastAsia="宋体" w:cs="宋体"/>
          <w:b/>
          <w:color w:val="000000"/>
          <w:sz w:val="24"/>
          <w:szCs w:val="24"/>
          <w:highlight w:val="none"/>
          <w:lang w:val="en-US"/>
        </w:rPr>
        <w:t>1</w:t>
      </w:r>
      <w:r>
        <w:rPr>
          <w:rFonts w:hint="eastAsia" w:ascii="宋体" w:hAnsi="宋体" w:eastAsia="宋体" w:cs="宋体"/>
          <w:b/>
          <w:color w:val="000000"/>
          <w:sz w:val="24"/>
          <w:szCs w:val="24"/>
          <w:highlight w:val="none"/>
        </w:rPr>
        <w:t>）核心目标</w:t>
      </w:r>
    </w:p>
    <w:p w14:paraId="06ABA4F1">
      <w:pPr>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与二级包（</w:t>
      </w:r>
      <w:r>
        <w:rPr>
          <w:rFonts w:hint="eastAsia" w:ascii="宋体" w:hAnsi="宋体" w:eastAsia="宋体" w:cs="宋体"/>
          <w:bCs/>
          <w:color w:val="000000"/>
          <w:sz w:val="24"/>
          <w:szCs w:val="24"/>
          <w:highlight w:val="none"/>
          <w:lang w:val="en-US"/>
        </w:rPr>
        <w:t>数字化工厂</w:t>
      </w:r>
      <w:r>
        <w:rPr>
          <w:rFonts w:hint="eastAsia" w:ascii="宋体" w:hAnsi="宋体" w:eastAsia="宋体" w:cs="宋体"/>
          <w:bCs/>
          <w:color w:val="000000"/>
          <w:sz w:val="24"/>
          <w:szCs w:val="24"/>
          <w:highlight w:val="none"/>
        </w:rPr>
        <w:t>）在生产计划、设备管理、质量管控等核心业务模块的接口打通，基于ERP系统开放的RESTAPI、WebService接口进行集成开发，确保兼容性与稳定性，支持业务数据双向流转，避免“信息孤岛”。</w:t>
      </w:r>
    </w:p>
    <w:p w14:paraId="68EC2A27">
      <w:pP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w:t>
      </w:r>
      <w:r>
        <w:rPr>
          <w:rFonts w:hint="eastAsia" w:ascii="宋体" w:hAnsi="宋体" w:eastAsia="宋体" w:cs="宋体"/>
          <w:b/>
          <w:color w:val="000000"/>
          <w:sz w:val="24"/>
          <w:szCs w:val="24"/>
          <w:highlight w:val="none"/>
          <w:lang w:val="en-US"/>
        </w:rPr>
        <w:t>2</w:t>
      </w:r>
      <w:r>
        <w:rPr>
          <w:rFonts w:hint="eastAsia" w:ascii="宋体" w:hAnsi="宋体" w:eastAsia="宋体" w:cs="宋体"/>
          <w:b/>
          <w:color w:val="000000"/>
          <w:sz w:val="24"/>
          <w:szCs w:val="24"/>
          <w:highlight w:val="none"/>
        </w:rPr>
        <w:t>）详细实施内容</w:t>
      </w:r>
    </w:p>
    <w:p w14:paraId="74254F32">
      <w:pPr>
        <w:numPr>
          <w:ilvl w:val="0"/>
          <w:numId w:val="41"/>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rPr>
        <w:t>打通孤岛</w:t>
      </w:r>
      <w:r>
        <w:rPr>
          <w:rFonts w:hint="eastAsia" w:ascii="宋体" w:hAnsi="宋体" w:eastAsia="宋体" w:cs="宋体"/>
          <w:bCs/>
          <w:color w:val="000000"/>
          <w:sz w:val="24"/>
          <w:szCs w:val="24"/>
          <w:highlight w:val="none"/>
        </w:rPr>
        <w:t>快速连接</w:t>
      </w:r>
    </w:p>
    <w:p w14:paraId="09FC3AD5">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lang w:val="en-US"/>
        </w:rPr>
        <w:t>系统对接</w:t>
      </w:r>
      <w:r>
        <w:rPr>
          <w:rFonts w:hint="eastAsia" w:ascii="宋体" w:hAnsi="宋体" w:eastAsia="宋体" w:cs="宋体"/>
          <w:b/>
          <w:color w:val="000000"/>
          <w:sz w:val="24"/>
          <w:szCs w:val="24"/>
          <w:highlight w:val="none"/>
        </w:rPr>
        <w:t>：</w:t>
      </w:r>
      <w:r>
        <w:rPr>
          <w:rFonts w:hint="eastAsia" w:ascii="宋体" w:hAnsi="宋体" w:eastAsia="宋体" w:cs="宋体"/>
          <w:bCs/>
          <w:color w:val="000000"/>
          <w:sz w:val="24"/>
          <w:szCs w:val="24"/>
          <w:highlight w:val="none"/>
        </w:rPr>
        <w:t>实现</w:t>
      </w:r>
      <w:r>
        <w:rPr>
          <w:rFonts w:hint="eastAsia" w:ascii="宋体" w:hAnsi="宋体" w:eastAsia="宋体" w:cs="宋体"/>
          <w:bCs/>
          <w:color w:val="000000"/>
          <w:sz w:val="24"/>
          <w:szCs w:val="24"/>
          <w:highlight w:val="none"/>
          <w:lang w:eastAsia="zh-CN"/>
        </w:rPr>
        <w:t>本平台</w:t>
      </w:r>
      <w:r>
        <w:rPr>
          <w:rFonts w:hint="eastAsia" w:ascii="宋体" w:hAnsi="宋体" w:eastAsia="宋体" w:cs="宋体"/>
          <w:bCs/>
          <w:color w:val="000000"/>
          <w:sz w:val="24"/>
          <w:szCs w:val="24"/>
          <w:highlight w:val="none"/>
        </w:rPr>
        <w:t>与ERP等主流应用平台的无缝集成，打通业务数据链路，避免重复录入，提升数据一致性与业务协同效率；</w:t>
      </w:r>
    </w:p>
    <w:p w14:paraId="2C88FBEB">
      <w:pPr>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支持单点登录（SSO），</w:t>
      </w:r>
      <w:r>
        <w:rPr>
          <w:rFonts w:hint="eastAsia" w:ascii="宋体" w:hAnsi="宋体" w:eastAsia="宋体" w:cs="宋体"/>
          <w:bCs/>
          <w:color w:val="000000"/>
          <w:sz w:val="24"/>
          <w:szCs w:val="24"/>
          <w:highlight w:val="none"/>
          <w:lang w:val="en-US"/>
        </w:rPr>
        <w:t>针对工业互联网平台，</w:t>
      </w:r>
      <w:r>
        <w:rPr>
          <w:rFonts w:hint="eastAsia" w:ascii="宋体" w:hAnsi="宋体" w:eastAsia="宋体" w:cs="宋体"/>
          <w:bCs/>
          <w:color w:val="000000"/>
          <w:sz w:val="24"/>
          <w:szCs w:val="24"/>
          <w:highlight w:val="none"/>
        </w:rPr>
        <w:t>员工一次登录即可访问</w:t>
      </w:r>
      <w:r>
        <w:rPr>
          <w:rFonts w:hint="eastAsia" w:ascii="宋体" w:hAnsi="宋体" w:eastAsia="宋体" w:cs="宋体"/>
          <w:bCs/>
          <w:color w:val="000000"/>
          <w:sz w:val="24"/>
          <w:szCs w:val="24"/>
          <w:highlight w:val="none"/>
          <w:lang w:val="en-US"/>
        </w:rPr>
        <w:t>AI-DOP</w:t>
      </w:r>
      <w:r>
        <w:rPr>
          <w:rFonts w:hint="eastAsia" w:ascii="宋体" w:hAnsi="宋体" w:eastAsia="宋体" w:cs="宋体"/>
          <w:bCs/>
          <w:color w:val="000000"/>
          <w:sz w:val="24"/>
          <w:szCs w:val="24"/>
          <w:highlight w:val="none"/>
        </w:rPr>
        <w:t>（通过OAuth2.0协议）。</w:t>
      </w:r>
    </w:p>
    <w:p w14:paraId="47C094A6">
      <w:pPr>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val="en-US"/>
        </w:rPr>
        <w:t>3.2.6</w:t>
      </w:r>
      <w:r>
        <w:rPr>
          <w:rFonts w:hint="eastAsia" w:ascii="宋体" w:hAnsi="宋体" w:eastAsia="宋体" w:cs="宋体"/>
          <w:b/>
          <w:color w:val="000000"/>
          <w:sz w:val="24"/>
          <w:szCs w:val="24"/>
          <w:highlight w:val="none"/>
        </w:rPr>
        <w:t>数据治理与数据中台</w:t>
      </w:r>
    </w:p>
    <w:p w14:paraId="186E83DB">
      <w:pPr>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核心目标</w:t>
      </w:r>
    </w:p>
    <w:p w14:paraId="051B4190">
      <w:pPr>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构建统一的数据中台，实现OTD全流程数据的“采、存、治、用”，为KPI分析、BI可视化、人工智能应用提供高质量数据支撑。</w:t>
      </w:r>
    </w:p>
    <w:p w14:paraId="6BE5203A">
      <w:pPr>
        <w:pStyle w:val="6"/>
        <w:numPr>
          <w:ilvl w:val="4"/>
          <w:numId w:val="0"/>
        </w:numPr>
        <w:ind w:left="968" w:leftChars="141" w:hanging="672" w:hangingChars="279"/>
        <w:rPr>
          <w:rFonts w:hint="eastAsia" w:ascii="宋体" w:hAnsi="宋体" w:eastAsia="宋体" w:cs="宋体"/>
          <w:color w:val="000000"/>
          <w:sz w:val="24"/>
          <w:szCs w:val="24"/>
          <w:highlight w:val="none"/>
          <w:lang w:val="en-US"/>
        </w:rPr>
      </w:pPr>
      <w:r>
        <w:rPr>
          <w:rFonts w:hint="eastAsia" w:ascii="宋体" w:hAnsi="宋体" w:eastAsia="宋体" w:cs="宋体"/>
          <w:color w:val="000000"/>
          <w:sz w:val="24"/>
          <w:szCs w:val="24"/>
          <w:highlight w:val="none"/>
          <w:lang w:val="en-US"/>
        </w:rPr>
        <w:t xml:space="preserve">2.6.1 </w:t>
      </w:r>
      <w:r>
        <w:rPr>
          <w:rFonts w:hint="eastAsia" w:ascii="宋体" w:hAnsi="宋体" w:eastAsia="宋体" w:cs="宋体"/>
          <w:bCs/>
          <w:color w:val="000000"/>
          <w:sz w:val="24"/>
          <w:szCs w:val="24"/>
          <w:highlight w:val="none"/>
          <w:lang w:val="en-US" w:eastAsia="zh-CN"/>
        </w:rPr>
        <w:t>九宫格智慧运营看板</w:t>
      </w:r>
      <w:r>
        <w:rPr>
          <w:rFonts w:hint="eastAsia" w:ascii="宋体" w:hAnsi="宋体" w:eastAsia="宋体" w:cs="宋体"/>
          <w:bCs/>
          <w:color w:val="000000"/>
          <w:sz w:val="24"/>
          <w:szCs w:val="24"/>
          <w:highlight w:val="none"/>
        </w:rPr>
        <w:t>（S9）</w:t>
      </w:r>
    </w:p>
    <w:p w14:paraId="19FF1C3A">
      <w:pPr>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w:t>
      </w:r>
      <w:r>
        <w:rPr>
          <w:rFonts w:hint="eastAsia" w:ascii="宋体" w:hAnsi="宋体" w:eastAsia="宋体" w:cs="宋体"/>
          <w:b/>
          <w:color w:val="000000"/>
          <w:sz w:val="24"/>
          <w:szCs w:val="24"/>
          <w:highlight w:val="none"/>
          <w:lang w:val="en-US"/>
        </w:rPr>
        <w:t>1</w:t>
      </w:r>
      <w:r>
        <w:rPr>
          <w:rFonts w:hint="eastAsia" w:ascii="宋体" w:hAnsi="宋体" w:eastAsia="宋体" w:cs="宋体"/>
          <w:b/>
          <w:color w:val="000000"/>
          <w:sz w:val="24"/>
          <w:szCs w:val="24"/>
          <w:highlight w:val="none"/>
        </w:rPr>
        <w:t>）核心目标</w:t>
      </w:r>
    </w:p>
    <w:p w14:paraId="6519FA54">
      <w:pPr>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建立全流程</w:t>
      </w:r>
      <w:r>
        <w:rPr>
          <w:rFonts w:hint="eastAsia" w:ascii="宋体" w:hAnsi="宋体" w:eastAsia="宋体" w:cs="宋体"/>
          <w:bCs/>
          <w:color w:val="000000"/>
          <w:sz w:val="24"/>
          <w:szCs w:val="24"/>
          <w:highlight w:val="none"/>
          <w:lang w:val="en-US"/>
        </w:rPr>
        <w:t>关键绩效指标（KPI）定义、数据测量、偏差分析及可视化，覆盖客户订单交付、订单协同、供应协同、采购、物料、生产、成品仓储等核心指标，支撑运营决策优化</w:t>
      </w:r>
      <w:r>
        <w:rPr>
          <w:rFonts w:hint="eastAsia" w:ascii="宋体" w:hAnsi="宋体" w:eastAsia="宋体" w:cs="宋体"/>
          <w:bCs/>
          <w:color w:val="000000"/>
          <w:sz w:val="24"/>
          <w:szCs w:val="24"/>
          <w:highlight w:val="none"/>
        </w:rPr>
        <w:t>。</w:t>
      </w:r>
    </w:p>
    <w:p w14:paraId="2B163752">
      <w:pPr>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通过BI工具实现全流程数据的可视化展示，支持管理层决策和业务人员自助分析。</w:t>
      </w:r>
    </w:p>
    <w:p w14:paraId="219046E7">
      <w:pPr>
        <w:numPr>
          <w:ilvl w:val="0"/>
          <w:numId w:val="42"/>
        </w:numPr>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详细实施内容</w:t>
      </w:r>
    </w:p>
    <w:p w14:paraId="37AE5B63">
      <w:pPr>
        <w:rPr>
          <w:rFonts w:hint="eastAsia" w:ascii="宋体" w:hAnsi="宋体" w:eastAsia="宋体" w:cs="宋体"/>
          <w:b/>
          <w:color w:val="000000"/>
          <w:sz w:val="24"/>
          <w:szCs w:val="24"/>
          <w:highlight w:val="none"/>
        </w:rPr>
      </w:pPr>
      <w:r>
        <w:rPr>
          <w:rFonts w:hint="eastAsia" w:ascii="宋体" w:hAnsi="宋体" w:eastAsia="宋体" w:cs="宋体"/>
          <w:bCs/>
          <w:color w:val="000000"/>
          <w:sz w:val="24"/>
          <w:szCs w:val="24"/>
          <w:highlight w:val="none"/>
          <w:lang w:val="en-US"/>
        </w:rPr>
        <w:t xml:space="preserve"> </w:t>
      </w:r>
      <w:r>
        <w:rPr>
          <w:rFonts w:hint="eastAsia" w:ascii="宋体" w:hAnsi="宋体" w:eastAsia="宋体" w:cs="宋体"/>
          <w:b/>
          <w:color w:val="000000"/>
          <w:sz w:val="24"/>
          <w:szCs w:val="24"/>
          <w:highlight w:val="none"/>
        </w:rPr>
        <w:t>BI与数据可视化</w:t>
      </w:r>
    </w:p>
    <w:p w14:paraId="3AC10966">
      <w:pPr>
        <w:rPr>
          <w:rFonts w:hint="eastAsia" w:ascii="宋体" w:hAnsi="宋体" w:eastAsia="宋体" w:cs="宋体"/>
          <w:b/>
          <w:color w:val="000000"/>
          <w:sz w:val="24"/>
          <w:szCs w:val="24"/>
          <w:highlight w:val="none"/>
        </w:rPr>
      </w:pPr>
    </w:p>
    <w:tbl>
      <w:tblPr>
        <w:tblStyle w:val="33"/>
        <w:tblpPr w:leftFromText="180" w:rightFromText="180" w:vertAnchor="text" w:horzAnchor="page" w:tblpX="1784" w:tblpY="1289"/>
        <w:tblOverlap w:val="never"/>
        <w:tblW w:w="83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1184"/>
        <w:gridCol w:w="2296"/>
        <w:gridCol w:w="4864"/>
      </w:tblGrid>
      <w:tr w14:paraId="2608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7" w:hRule="atLeast"/>
          <w:tblHeader/>
        </w:trPr>
        <w:tc>
          <w:tcPr>
            <w:tcW w:w="0" w:type="auto"/>
            <w:shd w:val="clear" w:color="auto" w:fill="FFFFFF"/>
            <w:tcMar>
              <w:top w:w="144" w:type="dxa"/>
              <w:left w:w="216" w:type="dxa"/>
              <w:bottom w:w="144" w:type="dxa"/>
              <w:right w:w="216" w:type="dxa"/>
            </w:tcMar>
            <w:vAlign w:val="center"/>
          </w:tcPr>
          <w:p w14:paraId="2D791850">
            <w:pPr>
              <w:widowControl/>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bidi="ar"/>
              </w:rPr>
              <w:t>模块</w:t>
            </w:r>
          </w:p>
        </w:tc>
        <w:tc>
          <w:tcPr>
            <w:tcW w:w="0" w:type="auto"/>
            <w:shd w:val="clear" w:color="auto" w:fill="FFFFFF"/>
            <w:tcMar>
              <w:top w:w="144" w:type="dxa"/>
              <w:left w:w="216" w:type="dxa"/>
              <w:bottom w:w="144" w:type="dxa"/>
              <w:right w:w="216" w:type="dxa"/>
            </w:tcMar>
            <w:vAlign w:val="center"/>
          </w:tcPr>
          <w:p w14:paraId="7B3811C0">
            <w:pPr>
              <w:widowControl/>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bidi="ar"/>
              </w:rPr>
              <w:t>KPI指标</w:t>
            </w:r>
          </w:p>
        </w:tc>
        <w:tc>
          <w:tcPr>
            <w:tcW w:w="4864" w:type="dxa"/>
            <w:shd w:val="clear" w:color="auto" w:fill="FFFFFF"/>
            <w:tcMar>
              <w:top w:w="144" w:type="dxa"/>
              <w:left w:w="216" w:type="dxa"/>
              <w:bottom w:w="144" w:type="dxa"/>
              <w:right w:w="216" w:type="dxa"/>
            </w:tcMar>
            <w:vAlign w:val="center"/>
          </w:tcPr>
          <w:p w14:paraId="1C364977">
            <w:pPr>
              <w:widowControl/>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bidi="ar"/>
              </w:rPr>
              <w:t>计算方式</w:t>
            </w:r>
          </w:p>
        </w:tc>
      </w:tr>
      <w:tr w14:paraId="4895B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3" w:hRule="atLeast"/>
        </w:trPr>
        <w:tc>
          <w:tcPr>
            <w:tcW w:w="0" w:type="auto"/>
            <w:shd w:val="clear" w:color="auto" w:fill="FFFFFF"/>
            <w:tcMar>
              <w:top w:w="144" w:type="dxa"/>
              <w:left w:w="216" w:type="dxa"/>
              <w:bottom w:w="144" w:type="dxa"/>
              <w:right w:w="216" w:type="dxa"/>
            </w:tcMar>
            <w:vAlign w:val="center"/>
          </w:tcPr>
          <w:p w14:paraId="2BE593A1">
            <w:pPr>
              <w:widowControl/>
              <w:rPr>
                <w:rFonts w:hint="eastAsia" w:ascii="宋体" w:hAnsi="宋体" w:eastAsia="宋体" w:cs="宋体"/>
                <w:sz w:val="24"/>
                <w:szCs w:val="24"/>
                <w:highlight w:val="none"/>
              </w:rPr>
            </w:pPr>
            <w:r>
              <w:rPr>
                <w:rFonts w:hint="eastAsia" w:ascii="宋体" w:hAnsi="宋体" w:eastAsia="宋体" w:cs="宋体"/>
                <w:sz w:val="24"/>
                <w:szCs w:val="24"/>
                <w:highlight w:val="none"/>
                <w:lang w:val="en-US" w:bidi="ar"/>
              </w:rPr>
              <w:t>产销协同</w:t>
            </w:r>
          </w:p>
        </w:tc>
        <w:tc>
          <w:tcPr>
            <w:tcW w:w="0" w:type="auto"/>
            <w:shd w:val="clear" w:color="auto" w:fill="FFFFFF"/>
            <w:tcMar>
              <w:top w:w="144" w:type="dxa"/>
              <w:left w:w="216" w:type="dxa"/>
              <w:bottom w:w="144" w:type="dxa"/>
              <w:right w:w="216" w:type="dxa"/>
            </w:tcMar>
            <w:vAlign w:val="center"/>
          </w:tcPr>
          <w:p w14:paraId="4499C942">
            <w:pPr>
              <w:widowControl/>
              <w:rPr>
                <w:rFonts w:hint="eastAsia" w:ascii="宋体" w:hAnsi="宋体" w:eastAsia="宋体" w:cs="宋体"/>
                <w:sz w:val="24"/>
                <w:szCs w:val="24"/>
                <w:highlight w:val="none"/>
              </w:rPr>
            </w:pPr>
            <w:r>
              <w:rPr>
                <w:rFonts w:hint="eastAsia" w:ascii="宋体" w:hAnsi="宋体" w:eastAsia="宋体" w:cs="宋体"/>
                <w:sz w:val="24"/>
                <w:szCs w:val="24"/>
                <w:highlight w:val="none"/>
                <w:lang w:val="en-US" w:bidi="ar"/>
              </w:rPr>
              <w:t>OTD交付率</w:t>
            </w:r>
          </w:p>
        </w:tc>
        <w:tc>
          <w:tcPr>
            <w:tcW w:w="4864" w:type="dxa"/>
            <w:shd w:val="clear" w:color="auto" w:fill="FFFFFF"/>
            <w:tcMar>
              <w:top w:w="144" w:type="dxa"/>
              <w:left w:w="216" w:type="dxa"/>
              <w:bottom w:w="144" w:type="dxa"/>
              <w:right w:w="216" w:type="dxa"/>
            </w:tcMar>
            <w:vAlign w:val="center"/>
          </w:tcPr>
          <w:p w14:paraId="165679AB">
            <w:pPr>
              <w:widowControl/>
              <w:rPr>
                <w:rFonts w:hint="eastAsia" w:ascii="宋体" w:hAnsi="宋体" w:eastAsia="宋体" w:cs="宋体"/>
                <w:sz w:val="24"/>
                <w:szCs w:val="24"/>
                <w:highlight w:val="none"/>
              </w:rPr>
            </w:pPr>
            <w:r>
              <w:rPr>
                <w:rFonts w:hint="eastAsia" w:ascii="宋体" w:hAnsi="宋体" w:eastAsia="宋体" w:cs="宋体"/>
                <w:sz w:val="24"/>
                <w:szCs w:val="24"/>
                <w:highlight w:val="none"/>
                <w:lang w:val="en-US" w:bidi="ar"/>
              </w:rPr>
              <w:t>按时交付订单数/总订单数×100%</w:t>
            </w:r>
          </w:p>
        </w:tc>
      </w:tr>
      <w:tr w14:paraId="3204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18" w:hRule="atLeast"/>
        </w:trPr>
        <w:tc>
          <w:tcPr>
            <w:tcW w:w="0" w:type="auto"/>
            <w:shd w:val="clear" w:color="auto" w:fill="FFFFFF"/>
            <w:tcMar>
              <w:top w:w="144" w:type="dxa"/>
              <w:left w:w="216" w:type="dxa"/>
              <w:bottom w:w="144" w:type="dxa"/>
              <w:right w:w="216" w:type="dxa"/>
            </w:tcMar>
            <w:vAlign w:val="center"/>
          </w:tcPr>
          <w:p w14:paraId="610CF983">
            <w:pPr>
              <w:widowControl/>
              <w:rPr>
                <w:rFonts w:hint="eastAsia" w:ascii="宋体" w:hAnsi="宋体" w:eastAsia="宋体" w:cs="宋体"/>
                <w:sz w:val="24"/>
                <w:szCs w:val="24"/>
                <w:highlight w:val="none"/>
              </w:rPr>
            </w:pPr>
            <w:r>
              <w:rPr>
                <w:rFonts w:hint="eastAsia" w:ascii="宋体" w:hAnsi="宋体" w:eastAsia="宋体" w:cs="宋体"/>
                <w:sz w:val="24"/>
                <w:szCs w:val="24"/>
                <w:highlight w:val="none"/>
                <w:lang w:val="en-US" w:bidi="ar"/>
              </w:rPr>
              <w:t>生产执行</w:t>
            </w:r>
          </w:p>
        </w:tc>
        <w:tc>
          <w:tcPr>
            <w:tcW w:w="0" w:type="auto"/>
            <w:shd w:val="clear" w:color="auto" w:fill="FFFFFF"/>
            <w:tcMar>
              <w:top w:w="144" w:type="dxa"/>
              <w:left w:w="216" w:type="dxa"/>
              <w:bottom w:w="144" w:type="dxa"/>
              <w:right w:w="216" w:type="dxa"/>
            </w:tcMar>
            <w:vAlign w:val="center"/>
          </w:tcPr>
          <w:p w14:paraId="04287289">
            <w:pPr>
              <w:widowControl/>
              <w:rPr>
                <w:rFonts w:hint="eastAsia" w:ascii="宋体" w:hAnsi="宋体" w:eastAsia="宋体" w:cs="宋体"/>
                <w:sz w:val="24"/>
                <w:szCs w:val="24"/>
                <w:highlight w:val="none"/>
              </w:rPr>
            </w:pPr>
            <w:r>
              <w:rPr>
                <w:rFonts w:hint="eastAsia" w:ascii="宋体" w:hAnsi="宋体" w:eastAsia="宋体" w:cs="宋体"/>
                <w:sz w:val="24"/>
                <w:szCs w:val="24"/>
                <w:highlight w:val="none"/>
                <w:lang w:val="en-US" w:bidi="ar"/>
              </w:rPr>
              <w:t>设备综合效率（OEE）</w:t>
            </w:r>
          </w:p>
        </w:tc>
        <w:tc>
          <w:tcPr>
            <w:tcW w:w="4864" w:type="dxa"/>
            <w:shd w:val="clear" w:color="auto" w:fill="FFFFFF"/>
            <w:tcMar>
              <w:top w:w="144" w:type="dxa"/>
              <w:left w:w="216" w:type="dxa"/>
              <w:bottom w:w="144" w:type="dxa"/>
              <w:right w:w="216" w:type="dxa"/>
            </w:tcMar>
            <w:vAlign w:val="center"/>
          </w:tcPr>
          <w:p w14:paraId="1FE25724">
            <w:pPr>
              <w:widowControl/>
              <w:rPr>
                <w:rFonts w:hint="eastAsia" w:ascii="宋体" w:hAnsi="宋体" w:eastAsia="宋体" w:cs="宋体"/>
                <w:sz w:val="24"/>
                <w:szCs w:val="24"/>
                <w:highlight w:val="none"/>
              </w:rPr>
            </w:pPr>
            <w:r>
              <w:rPr>
                <w:rFonts w:hint="eastAsia" w:ascii="宋体" w:hAnsi="宋体" w:eastAsia="宋体" w:cs="宋体"/>
                <w:sz w:val="24"/>
                <w:szCs w:val="24"/>
                <w:highlight w:val="none"/>
                <w:lang w:val="en-US" w:bidi="ar"/>
              </w:rPr>
              <w:t>可用率×表现率×质量率×100%</w:t>
            </w:r>
          </w:p>
        </w:tc>
      </w:tr>
      <w:tr w14:paraId="5DC1C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43" w:hRule="atLeast"/>
        </w:trPr>
        <w:tc>
          <w:tcPr>
            <w:tcW w:w="0" w:type="auto"/>
            <w:shd w:val="clear" w:color="auto" w:fill="FFFFFF"/>
            <w:tcMar>
              <w:top w:w="144" w:type="dxa"/>
              <w:left w:w="216" w:type="dxa"/>
              <w:bottom w:w="144" w:type="dxa"/>
              <w:right w:w="216" w:type="dxa"/>
            </w:tcMar>
            <w:vAlign w:val="center"/>
          </w:tcPr>
          <w:p w14:paraId="62CBC6D9">
            <w:pPr>
              <w:widowControl/>
              <w:rPr>
                <w:rFonts w:hint="eastAsia" w:ascii="宋体" w:hAnsi="宋体" w:eastAsia="宋体" w:cs="宋体"/>
                <w:sz w:val="24"/>
                <w:szCs w:val="24"/>
                <w:highlight w:val="none"/>
              </w:rPr>
            </w:pPr>
            <w:r>
              <w:rPr>
                <w:rFonts w:hint="eastAsia" w:ascii="宋体" w:hAnsi="宋体" w:eastAsia="宋体" w:cs="宋体"/>
                <w:sz w:val="24"/>
                <w:szCs w:val="24"/>
                <w:highlight w:val="none"/>
                <w:lang w:val="en-US" w:bidi="ar"/>
              </w:rPr>
              <w:t>采购供应</w:t>
            </w:r>
          </w:p>
        </w:tc>
        <w:tc>
          <w:tcPr>
            <w:tcW w:w="0" w:type="auto"/>
            <w:shd w:val="clear" w:color="auto" w:fill="FFFFFF"/>
            <w:tcMar>
              <w:top w:w="144" w:type="dxa"/>
              <w:left w:w="216" w:type="dxa"/>
              <w:bottom w:w="144" w:type="dxa"/>
              <w:right w:w="216" w:type="dxa"/>
            </w:tcMar>
            <w:vAlign w:val="center"/>
          </w:tcPr>
          <w:p w14:paraId="1273FFC8">
            <w:pPr>
              <w:widowControl/>
              <w:rPr>
                <w:rFonts w:hint="eastAsia" w:ascii="宋体" w:hAnsi="宋体" w:eastAsia="宋体" w:cs="宋体"/>
                <w:sz w:val="24"/>
                <w:szCs w:val="24"/>
                <w:highlight w:val="none"/>
              </w:rPr>
            </w:pPr>
            <w:r>
              <w:rPr>
                <w:rFonts w:hint="eastAsia" w:ascii="宋体" w:hAnsi="宋体" w:eastAsia="宋体" w:cs="宋体"/>
                <w:sz w:val="24"/>
                <w:szCs w:val="24"/>
                <w:highlight w:val="none"/>
                <w:lang w:val="en-US" w:bidi="ar"/>
              </w:rPr>
              <w:t>供应商交付率</w:t>
            </w:r>
          </w:p>
        </w:tc>
        <w:tc>
          <w:tcPr>
            <w:tcW w:w="4864" w:type="dxa"/>
            <w:shd w:val="clear" w:color="auto" w:fill="FFFFFF"/>
            <w:tcMar>
              <w:top w:w="144" w:type="dxa"/>
              <w:left w:w="216" w:type="dxa"/>
              <w:bottom w:w="144" w:type="dxa"/>
              <w:right w:w="216" w:type="dxa"/>
            </w:tcMar>
            <w:vAlign w:val="center"/>
          </w:tcPr>
          <w:p w14:paraId="4C99A3E2">
            <w:pPr>
              <w:widowControl/>
              <w:rPr>
                <w:rFonts w:hint="eastAsia" w:ascii="宋体" w:hAnsi="宋体" w:eastAsia="宋体" w:cs="宋体"/>
                <w:sz w:val="24"/>
                <w:szCs w:val="24"/>
                <w:highlight w:val="none"/>
              </w:rPr>
            </w:pPr>
            <w:r>
              <w:rPr>
                <w:rFonts w:hint="eastAsia" w:ascii="宋体" w:hAnsi="宋体" w:eastAsia="宋体" w:cs="宋体"/>
                <w:sz w:val="24"/>
                <w:szCs w:val="24"/>
                <w:highlight w:val="none"/>
                <w:lang w:val="en-US" w:bidi="ar"/>
              </w:rPr>
              <w:t>按时交付物料批数/总采购批数×100%</w:t>
            </w:r>
          </w:p>
        </w:tc>
      </w:tr>
      <w:tr w14:paraId="6E3C7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6" w:hRule="atLeast"/>
        </w:trPr>
        <w:tc>
          <w:tcPr>
            <w:tcW w:w="0" w:type="auto"/>
            <w:shd w:val="clear" w:color="auto" w:fill="FFFFFF"/>
            <w:tcMar>
              <w:top w:w="144" w:type="dxa"/>
              <w:left w:w="216" w:type="dxa"/>
              <w:bottom w:w="144" w:type="dxa"/>
              <w:right w:w="216" w:type="dxa"/>
            </w:tcMar>
            <w:vAlign w:val="center"/>
          </w:tcPr>
          <w:p w14:paraId="08DEBEB1">
            <w:pPr>
              <w:widowControl/>
              <w:rPr>
                <w:rFonts w:hint="eastAsia" w:ascii="宋体" w:hAnsi="宋体" w:eastAsia="宋体" w:cs="宋体"/>
                <w:sz w:val="24"/>
                <w:szCs w:val="24"/>
                <w:highlight w:val="none"/>
              </w:rPr>
            </w:pPr>
            <w:r>
              <w:rPr>
                <w:rFonts w:hint="eastAsia" w:ascii="宋体" w:hAnsi="宋体" w:eastAsia="宋体" w:cs="宋体"/>
                <w:sz w:val="24"/>
                <w:szCs w:val="24"/>
                <w:highlight w:val="none"/>
                <w:lang w:val="en-US" w:bidi="ar"/>
              </w:rPr>
              <w:t>质量</w:t>
            </w:r>
          </w:p>
        </w:tc>
        <w:tc>
          <w:tcPr>
            <w:tcW w:w="0" w:type="auto"/>
            <w:shd w:val="clear" w:color="auto" w:fill="FFFFFF"/>
            <w:tcMar>
              <w:top w:w="144" w:type="dxa"/>
              <w:left w:w="216" w:type="dxa"/>
              <w:bottom w:w="144" w:type="dxa"/>
              <w:right w:w="216" w:type="dxa"/>
            </w:tcMar>
            <w:vAlign w:val="center"/>
          </w:tcPr>
          <w:p w14:paraId="4D016B1A">
            <w:pPr>
              <w:widowControl/>
              <w:rPr>
                <w:rFonts w:hint="eastAsia" w:ascii="宋体" w:hAnsi="宋体" w:eastAsia="宋体" w:cs="宋体"/>
                <w:sz w:val="24"/>
                <w:szCs w:val="24"/>
                <w:highlight w:val="none"/>
              </w:rPr>
            </w:pPr>
            <w:r>
              <w:rPr>
                <w:rFonts w:hint="eastAsia" w:ascii="宋体" w:hAnsi="宋体" w:eastAsia="宋体" w:cs="宋体"/>
                <w:sz w:val="24"/>
                <w:szCs w:val="24"/>
                <w:highlight w:val="none"/>
                <w:lang w:val="en-US" w:bidi="ar"/>
              </w:rPr>
              <w:t>成品合格率</w:t>
            </w:r>
          </w:p>
        </w:tc>
        <w:tc>
          <w:tcPr>
            <w:tcW w:w="4864" w:type="dxa"/>
            <w:shd w:val="clear" w:color="auto" w:fill="FFFFFF"/>
            <w:tcMar>
              <w:top w:w="144" w:type="dxa"/>
              <w:left w:w="216" w:type="dxa"/>
              <w:bottom w:w="144" w:type="dxa"/>
              <w:right w:w="216" w:type="dxa"/>
            </w:tcMar>
            <w:vAlign w:val="center"/>
          </w:tcPr>
          <w:p w14:paraId="016B77E9">
            <w:pPr>
              <w:widowControl/>
              <w:rPr>
                <w:rFonts w:hint="eastAsia" w:ascii="宋体" w:hAnsi="宋体" w:eastAsia="宋体" w:cs="宋体"/>
                <w:sz w:val="24"/>
                <w:szCs w:val="24"/>
                <w:highlight w:val="none"/>
              </w:rPr>
            </w:pPr>
            <w:r>
              <w:rPr>
                <w:rFonts w:hint="eastAsia" w:ascii="宋体" w:hAnsi="宋体" w:eastAsia="宋体" w:cs="宋体"/>
                <w:sz w:val="24"/>
                <w:szCs w:val="24"/>
                <w:highlight w:val="none"/>
                <w:lang w:val="en-US" w:bidi="ar"/>
              </w:rPr>
              <w:t>合格成品数/总生产数×100%</w:t>
            </w:r>
          </w:p>
        </w:tc>
      </w:tr>
      <w:tr w14:paraId="5C96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6" w:hRule="atLeast"/>
        </w:trPr>
        <w:tc>
          <w:tcPr>
            <w:tcW w:w="0" w:type="auto"/>
            <w:shd w:val="clear" w:color="auto" w:fill="FFFFFF"/>
            <w:tcMar>
              <w:top w:w="144" w:type="dxa"/>
              <w:left w:w="216" w:type="dxa"/>
              <w:bottom w:w="144" w:type="dxa"/>
              <w:right w:w="216" w:type="dxa"/>
            </w:tcMar>
            <w:vAlign w:val="center"/>
          </w:tcPr>
          <w:p w14:paraId="448824B4">
            <w:pPr>
              <w:widowControl/>
              <w:rPr>
                <w:rFonts w:hint="eastAsia" w:ascii="宋体" w:hAnsi="宋体" w:eastAsia="宋体" w:cs="宋体"/>
                <w:sz w:val="24"/>
                <w:szCs w:val="24"/>
                <w:highlight w:val="none"/>
                <w:lang w:val="en-US" w:bidi="ar"/>
              </w:rPr>
            </w:pPr>
            <w:r>
              <w:rPr>
                <w:rFonts w:hint="eastAsia" w:ascii="宋体" w:hAnsi="宋体" w:eastAsia="宋体" w:cs="宋体"/>
                <w:sz w:val="24"/>
                <w:szCs w:val="24"/>
                <w:highlight w:val="none"/>
                <w:lang w:val="en-US" w:bidi="ar"/>
              </w:rPr>
              <w:t>库存周转</w:t>
            </w:r>
          </w:p>
        </w:tc>
        <w:tc>
          <w:tcPr>
            <w:tcW w:w="0" w:type="auto"/>
            <w:shd w:val="clear" w:color="auto" w:fill="FFFFFF"/>
            <w:tcMar>
              <w:top w:w="144" w:type="dxa"/>
              <w:left w:w="216" w:type="dxa"/>
              <w:bottom w:w="144" w:type="dxa"/>
              <w:right w:w="216" w:type="dxa"/>
            </w:tcMar>
            <w:vAlign w:val="center"/>
          </w:tcPr>
          <w:p w14:paraId="5C9BD714">
            <w:pPr>
              <w:widowControl/>
              <w:rPr>
                <w:rFonts w:hint="eastAsia" w:ascii="宋体" w:hAnsi="宋体" w:eastAsia="宋体" w:cs="宋体"/>
                <w:sz w:val="24"/>
                <w:szCs w:val="24"/>
                <w:highlight w:val="none"/>
                <w:lang w:val="en-US" w:bidi="ar"/>
              </w:rPr>
            </w:pPr>
            <w:r>
              <w:rPr>
                <w:rFonts w:hint="eastAsia" w:ascii="宋体" w:hAnsi="宋体" w:eastAsia="宋体" w:cs="宋体"/>
                <w:sz w:val="24"/>
                <w:szCs w:val="24"/>
                <w:highlight w:val="none"/>
                <w:lang w:val="en-US" w:bidi="ar"/>
              </w:rPr>
              <w:t>库存周转天数</w:t>
            </w:r>
          </w:p>
        </w:tc>
        <w:tc>
          <w:tcPr>
            <w:tcW w:w="4864" w:type="dxa"/>
            <w:shd w:val="clear" w:color="auto" w:fill="FFFFFF"/>
            <w:tcMar>
              <w:top w:w="144" w:type="dxa"/>
              <w:left w:w="216" w:type="dxa"/>
              <w:bottom w:w="144" w:type="dxa"/>
              <w:right w:w="216" w:type="dxa"/>
            </w:tcMar>
            <w:vAlign w:val="center"/>
          </w:tcPr>
          <w:p w14:paraId="7F50F3FC">
            <w:pPr>
              <w:widowControl/>
              <w:rPr>
                <w:rFonts w:hint="eastAsia" w:ascii="宋体" w:hAnsi="宋体" w:eastAsia="宋体" w:cs="宋体"/>
                <w:sz w:val="24"/>
                <w:szCs w:val="24"/>
                <w:highlight w:val="none"/>
                <w:lang w:val="en-US" w:bidi="ar"/>
              </w:rPr>
            </w:pPr>
            <w:r>
              <w:rPr>
                <w:rFonts w:hint="eastAsia" w:ascii="宋体" w:hAnsi="宋体" w:eastAsia="宋体" w:cs="宋体"/>
                <w:sz w:val="24"/>
                <w:szCs w:val="24"/>
                <w:highlight w:val="none"/>
                <w:lang w:val="en-US" w:bidi="ar"/>
              </w:rPr>
              <w:t>库存数量/日均用量</w:t>
            </w:r>
          </w:p>
        </w:tc>
      </w:tr>
    </w:tbl>
    <w:p w14:paraId="3986F4FA">
      <w:pPr>
        <w:rPr>
          <w:rFonts w:hint="eastAsia" w:ascii="宋体" w:hAnsi="宋体" w:eastAsia="宋体" w:cs="宋体"/>
          <w:bCs/>
          <w:color w:val="000000"/>
          <w:sz w:val="24"/>
          <w:szCs w:val="24"/>
          <w:highlight w:val="none"/>
        </w:rPr>
      </w:pPr>
    </w:p>
    <w:p w14:paraId="086385C7">
      <w:pPr>
        <w:ind w:left="630"/>
        <w:rPr>
          <w:rFonts w:hint="eastAsia" w:ascii="宋体" w:hAnsi="宋体" w:eastAsia="宋体" w:cs="宋体"/>
          <w:bCs/>
          <w:color w:val="000000"/>
          <w:sz w:val="24"/>
          <w:szCs w:val="24"/>
          <w:highlight w:val="none"/>
        </w:rPr>
      </w:pPr>
    </w:p>
    <w:p w14:paraId="4ADB2C19">
      <w:pPr>
        <w:ind w:left="63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KPI计算与分析</w:t>
      </w:r>
    </w:p>
    <w:p w14:paraId="78F9E864">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lang w:val="en-US"/>
        </w:rPr>
        <w:t>自动计算</w:t>
      </w:r>
      <w:r>
        <w:rPr>
          <w:rFonts w:hint="eastAsia" w:ascii="宋体" w:hAnsi="宋体" w:eastAsia="宋体" w:cs="宋体"/>
          <w:b/>
          <w:color w:val="000000"/>
          <w:sz w:val="24"/>
          <w:szCs w:val="24"/>
          <w:highlight w:val="none"/>
        </w:rPr>
        <w:t>：</w:t>
      </w:r>
      <w:r>
        <w:rPr>
          <w:rFonts w:hint="eastAsia" w:ascii="宋体" w:hAnsi="宋体" w:eastAsia="宋体" w:cs="宋体"/>
          <w:bCs/>
          <w:color w:val="000000"/>
          <w:sz w:val="24"/>
          <w:szCs w:val="24"/>
          <w:highlight w:val="none"/>
        </w:rPr>
        <w:t>基于数据中台的DWS层数据，每日凌晨自动计算KPI值。</w:t>
      </w:r>
    </w:p>
    <w:p w14:paraId="46AA9373">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偏差分析：</w:t>
      </w:r>
      <w:r>
        <w:rPr>
          <w:rFonts w:hint="eastAsia" w:ascii="宋体" w:hAnsi="宋体" w:eastAsia="宋体" w:cs="宋体"/>
          <w:bCs/>
          <w:color w:val="000000"/>
          <w:sz w:val="24"/>
          <w:szCs w:val="24"/>
          <w:highlight w:val="none"/>
        </w:rPr>
        <w:t>当KPI未达标时（如OTD交付率＜95%），</w:t>
      </w:r>
      <w:r>
        <w:rPr>
          <w:rFonts w:hint="eastAsia" w:ascii="宋体" w:hAnsi="宋体" w:eastAsia="宋体" w:cs="宋体"/>
          <w:bCs/>
          <w:color w:val="000000" w:themeColor="text1"/>
          <w:sz w:val="24"/>
          <w:szCs w:val="24"/>
          <w:highlight w:val="none"/>
          <w14:textFill>
            <w14:solidFill>
              <w14:schemeClr w14:val="tx1"/>
            </w14:solidFill>
          </w14:textFill>
        </w:rPr>
        <w:t>系统自动分析原因（如“物料短缺导致3个订单延期”）</w:t>
      </w:r>
      <w:r>
        <w:rPr>
          <w:rFonts w:hint="eastAsia" w:ascii="宋体" w:hAnsi="宋体" w:eastAsia="宋体" w:cs="宋体"/>
          <w:bCs/>
          <w:color w:val="000000"/>
          <w:sz w:val="24"/>
          <w:szCs w:val="24"/>
          <w:highlight w:val="none"/>
        </w:rPr>
        <w:t>。</w:t>
      </w:r>
    </w:p>
    <w:p w14:paraId="70A4940B">
      <w:pPr>
        <w:numPr>
          <w:ilvl w:val="0"/>
          <w:numId w:val="43"/>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可视化看板设计</w:t>
      </w:r>
    </w:p>
    <w:p w14:paraId="204691AA">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管理层大屏：</w:t>
      </w:r>
      <w:r>
        <w:rPr>
          <w:rFonts w:hint="eastAsia" w:ascii="宋体" w:hAnsi="宋体" w:eastAsia="宋体" w:cs="宋体"/>
          <w:bCs/>
          <w:color w:val="000000"/>
          <w:sz w:val="24"/>
          <w:szCs w:val="24"/>
          <w:highlight w:val="none"/>
        </w:rPr>
        <w:t>展示核心KPI（OTD交付率、质量合格率）、异常预警（如“3个订单延期”）；</w:t>
      </w:r>
    </w:p>
    <w:p w14:paraId="5008A620">
      <w:pPr>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部门看板：</w:t>
      </w:r>
    </w:p>
    <w:p w14:paraId="0338826C">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生产部：</w:t>
      </w:r>
      <w:r>
        <w:rPr>
          <w:rFonts w:hint="eastAsia" w:ascii="宋体" w:hAnsi="宋体" w:eastAsia="宋体" w:cs="宋体"/>
          <w:bCs/>
          <w:color w:val="000000"/>
          <w:sz w:val="24"/>
          <w:szCs w:val="24"/>
          <w:highlight w:val="none"/>
        </w:rPr>
        <w:t>工单进度、</w:t>
      </w:r>
      <w:r>
        <w:rPr>
          <w:rFonts w:hint="eastAsia" w:ascii="宋体" w:hAnsi="宋体" w:eastAsia="宋体" w:cs="宋体"/>
          <w:bCs/>
          <w:color w:val="000000"/>
          <w:sz w:val="24"/>
          <w:szCs w:val="24"/>
          <w:highlight w:val="none"/>
          <w:lang w:eastAsia="zh"/>
        </w:rPr>
        <w:t>设备OEE、</w:t>
      </w:r>
      <w:r>
        <w:rPr>
          <w:rFonts w:hint="eastAsia" w:ascii="宋体" w:hAnsi="宋体" w:eastAsia="宋体" w:cs="宋体"/>
          <w:bCs/>
          <w:color w:val="000000"/>
          <w:sz w:val="24"/>
          <w:szCs w:val="24"/>
          <w:highlight w:val="none"/>
        </w:rPr>
        <w:t>工序瓶颈分析；</w:t>
      </w:r>
    </w:p>
    <w:p w14:paraId="668FD8DF">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采购部：</w:t>
      </w:r>
      <w:r>
        <w:rPr>
          <w:rFonts w:hint="eastAsia" w:ascii="宋体" w:hAnsi="宋体" w:eastAsia="宋体" w:cs="宋体"/>
          <w:bCs/>
          <w:color w:val="000000"/>
          <w:sz w:val="24"/>
          <w:szCs w:val="24"/>
          <w:highlight w:val="none"/>
        </w:rPr>
        <w:t>供应商交付排行、物料齐套率、逾期订单；</w:t>
      </w:r>
    </w:p>
    <w:p w14:paraId="65C767CA">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质量部：</w:t>
      </w:r>
      <w:r>
        <w:rPr>
          <w:rFonts w:hint="eastAsia" w:ascii="宋体" w:hAnsi="宋体" w:eastAsia="宋体" w:cs="宋体"/>
          <w:bCs/>
          <w:color w:val="000000"/>
          <w:sz w:val="24"/>
          <w:szCs w:val="24"/>
          <w:highlight w:val="none"/>
        </w:rPr>
        <w:t>各环节不合格率、</w:t>
      </w:r>
      <w:r>
        <w:rPr>
          <w:rFonts w:hint="eastAsia" w:ascii="宋体" w:hAnsi="宋体" w:eastAsia="宋体" w:cs="宋体"/>
          <w:bCs/>
          <w:color w:val="000000"/>
          <w:sz w:val="24"/>
          <w:szCs w:val="24"/>
          <w:highlight w:val="none"/>
          <w:lang w:val="en-US"/>
        </w:rPr>
        <w:t>成品和半成品不良率</w:t>
      </w:r>
      <w:r>
        <w:rPr>
          <w:rFonts w:hint="eastAsia" w:ascii="宋体" w:hAnsi="宋体" w:eastAsia="宋体" w:cs="宋体"/>
          <w:bCs/>
          <w:color w:val="000000"/>
          <w:sz w:val="24"/>
          <w:szCs w:val="24"/>
          <w:highlight w:val="none"/>
        </w:rPr>
        <w:t>。</w:t>
      </w:r>
    </w:p>
    <w:p w14:paraId="3FB30BB0">
      <w:pPr>
        <w:numPr>
          <w:ilvl w:val="0"/>
          <w:numId w:val="44"/>
        </w:numP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自助分析支持</w:t>
      </w:r>
    </w:p>
    <w:p w14:paraId="1CD8A01C">
      <w:pPr>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供业务人员自主分析、</w:t>
      </w:r>
      <w:r>
        <w:rPr>
          <w:rFonts w:hint="eastAsia" w:ascii="宋体" w:hAnsi="宋体" w:eastAsia="宋体" w:cs="宋体"/>
          <w:bCs/>
          <w:color w:val="000000"/>
          <w:sz w:val="24"/>
          <w:szCs w:val="24"/>
          <w:highlight w:val="none"/>
          <w:lang w:val="en-US"/>
        </w:rPr>
        <w:t>支持按时间、按产品自主查询</w:t>
      </w:r>
      <w:r>
        <w:rPr>
          <w:rFonts w:hint="eastAsia" w:ascii="宋体" w:hAnsi="宋体" w:eastAsia="宋体" w:cs="宋体"/>
          <w:bCs/>
          <w:color w:val="000000"/>
          <w:sz w:val="24"/>
          <w:szCs w:val="24"/>
          <w:highlight w:val="none"/>
        </w:rPr>
        <w:t>（“分析近</w:t>
      </w:r>
      <w:r>
        <w:rPr>
          <w:rFonts w:hint="eastAsia" w:ascii="宋体" w:hAnsi="宋体" w:eastAsia="宋体" w:cs="宋体"/>
          <w:bCs/>
          <w:color w:val="000000"/>
          <w:sz w:val="24"/>
          <w:szCs w:val="24"/>
          <w:highlight w:val="none"/>
          <w:lang w:val="en-US"/>
        </w:rPr>
        <w:t>xx</w:t>
      </w:r>
      <w:r>
        <w:rPr>
          <w:rFonts w:hint="eastAsia" w:ascii="宋体" w:hAnsi="宋体" w:eastAsia="宋体" w:cs="宋体"/>
          <w:bCs/>
          <w:color w:val="000000"/>
          <w:sz w:val="24"/>
          <w:szCs w:val="24"/>
          <w:highlight w:val="none"/>
        </w:rPr>
        <w:t>个月某产品的质量波动原因”）；</w:t>
      </w:r>
    </w:p>
    <w:p w14:paraId="75A740CB">
      <w:pPr>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培训业务人员使用数据下钻功能（从“成品合格率”下钻至“某工序不合格明细”）。</w:t>
      </w:r>
    </w:p>
    <w:p w14:paraId="4C347F0C">
      <w:pPr>
        <w:pStyle w:val="6"/>
        <w:numPr>
          <w:ilvl w:val="4"/>
          <w:numId w:val="0"/>
        </w:numPr>
        <w:ind w:left="1008" w:leftChars="0" w:hanging="1008" w:firstLineChars="0"/>
        <w:rPr>
          <w:rFonts w:hint="eastAsia" w:ascii="宋体" w:hAnsi="宋体" w:eastAsia="宋体" w:cs="宋体"/>
          <w:b/>
          <w:color w:val="000000"/>
          <w:sz w:val="24"/>
          <w:szCs w:val="24"/>
          <w:highlight w:val="none"/>
          <w:lang w:val="en-US" w:eastAsia="zh-CN" w:bidi="zh-CN"/>
        </w:rPr>
      </w:pPr>
      <w:r>
        <w:rPr>
          <w:rFonts w:hint="eastAsia" w:ascii="宋体" w:hAnsi="宋体" w:eastAsia="宋体" w:cs="宋体"/>
          <w:b/>
          <w:color w:val="000000"/>
          <w:sz w:val="24"/>
          <w:szCs w:val="24"/>
          <w:highlight w:val="none"/>
          <w:lang w:val="en-US" w:eastAsia="zh-CN" w:bidi="zh-CN"/>
        </w:rPr>
        <w:t>2.6.2 运营问题诊断</w:t>
      </w:r>
    </w:p>
    <w:p w14:paraId="79910E36">
      <w:pPr>
        <w:ind w:firstLine="420"/>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本模块基于平台统一数据抽取能力，打通产销协同、运作协同、供应协同、采购执行、物料仓储内物流、生产执行、成品仓储外物流全环节异构系统数据，构建订单至成品出库端到端完整数据链路，面向制造企业全流程运营开展智能化诊断分析。</w:t>
      </w:r>
    </w:p>
    <w:p w14:paraId="5B738905">
      <w:pPr>
        <w:numPr>
          <w:ilvl w:val="0"/>
          <w:numId w:val="45"/>
        </w:numPr>
        <w:ind w:firstLine="420"/>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模块支持以销售订单为主线，串联需求预测、采购计划、来料入库、车间生产、半成品流转、成品入库、发货配送全业务节点，自动识别各环节断点、滞后、损耗、供需失衡、库存积压、交付延期、产能浪费、物流低效等各类运营异常问题；</w:t>
      </w:r>
    </w:p>
    <w:p w14:paraId="22A37BE3">
      <w:pPr>
        <w:numPr>
          <w:ilvl w:val="0"/>
          <w:numId w:val="45"/>
        </w:numPr>
        <w:ind w:firstLine="420"/>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依托多维度数据关联算法完成问题根因溯源，输出运营诊断报告，并针对每类运营痛点输出可落地的改善策略建议，并生成改善任务，追踪闭环。</w:t>
      </w:r>
    </w:p>
    <w:p w14:paraId="7011AB06">
      <w:pPr>
        <w:numPr>
          <w:ilvl w:val="0"/>
          <w:numId w:val="45"/>
        </w:numPr>
        <w:ind w:firstLine="420"/>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支撑企业运营管理人员持续优化全链路协同运营水平，实现订单履约全流程风险前置管控与运营效能提升。</w:t>
      </w:r>
    </w:p>
    <w:p w14:paraId="1B10C011">
      <w:pPr>
        <w:numPr>
          <w:ilvl w:val="0"/>
          <w:numId w:val="45"/>
        </w:numPr>
        <w:ind w:firstLine="420"/>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数据处理指标：异常识别时效：实时类数据问题（物料缺料、生产停滞、发货延迟）识别延迟≤3 分钟；周期类问题（库存积压、供需失衡、产能利用率分析）每日定时执行分析。根因分析维度：至少支持订单、物料、供应商、产线、仓库、时间段、人员 7 个维度下钻溯源。</w:t>
      </w:r>
    </w:p>
    <w:p w14:paraId="56B778F3">
      <w:pPr>
        <w:pStyle w:val="6"/>
        <w:numPr>
          <w:ilvl w:val="4"/>
          <w:numId w:val="0"/>
        </w:numPr>
        <w:ind w:left="1008" w:leftChars="0" w:hanging="1008" w:firstLineChars="0"/>
        <w:rPr>
          <w:rFonts w:hint="eastAsia" w:ascii="宋体" w:hAnsi="宋体" w:eastAsia="宋体" w:cs="宋体"/>
          <w:b/>
          <w:color w:val="000000"/>
          <w:sz w:val="24"/>
          <w:szCs w:val="24"/>
          <w:highlight w:val="none"/>
          <w:lang w:val="en-US" w:eastAsia="zh-CN" w:bidi="zh-CN"/>
        </w:rPr>
      </w:pPr>
      <w:r>
        <w:rPr>
          <w:rFonts w:hint="eastAsia" w:ascii="宋体" w:hAnsi="宋体" w:eastAsia="宋体" w:cs="宋体"/>
          <w:b/>
          <w:color w:val="000000"/>
          <w:sz w:val="24"/>
          <w:szCs w:val="24"/>
          <w:highlight w:val="none"/>
          <w:lang w:val="en-US" w:eastAsia="zh-CN" w:bidi="zh-CN"/>
        </w:rPr>
        <w:t>2.6.3 运营问题改善闭环</w:t>
      </w:r>
    </w:p>
    <w:p w14:paraId="2CB11DD0">
      <w:pPr>
        <w:numPr>
          <w:ilvl w:val="0"/>
          <w:numId w:val="0"/>
        </w:numPr>
        <w:ind w:firstLine="420" w:firstLineChars="0"/>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承接运营问题诊断输出的全流程运营异常，搭建问题建档、整改派单、过程跟踪、效果量化复盘、优化经验固化一体化闭环流程；</w:t>
      </w:r>
    </w:p>
    <w:p w14:paraId="78ECBA7B">
      <w:pPr>
        <w:numPr>
          <w:ilvl w:val="0"/>
          <w:numId w:val="46"/>
        </w:numPr>
        <w:ind w:firstLine="420" w:firstLineChars="0"/>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生成改善任务，追踪闭环。支撑企业运营管理人员持续优化全链路协同运营水平，实现订单履约全流程风险前置管控与运营效能提升；</w:t>
      </w:r>
    </w:p>
    <w:p w14:paraId="0FBD7E48">
      <w:pPr>
        <w:numPr>
          <w:ilvl w:val="0"/>
          <w:numId w:val="46"/>
        </w:numPr>
        <w:ind w:firstLine="420" w:firstLineChars="0"/>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自动对比改善前后各环节经营指标，评估优化成效，沉淀标准化管控规则，实现运营问题持续治理与全链路协同能力迭代提升。</w:t>
      </w:r>
    </w:p>
    <w:p w14:paraId="057807D1">
      <w:pPr>
        <w:rPr>
          <w:rFonts w:hint="eastAsia" w:ascii="宋体" w:hAnsi="宋体" w:eastAsia="宋体" w:cs="宋体"/>
          <w:sz w:val="24"/>
          <w:szCs w:val="24"/>
          <w:highlight w:val="none"/>
          <w:lang w:val="en-US" w:eastAsia="zh-CN"/>
        </w:rPr>
      </w:pPr>
    </w:p>
    <w:p w14:paraId="1AAA3CA2">
      <w:pPr>
        <w:pStyle w:val="6"/>
        <w:numPr>
          <w:ilvl w:val="4"/>
          <w:numId w:val="0"/>
        </w:numPr>
        <w:ind w:left="1008" w:leftChars="0" w:hanging="1008" w:firstLineChars="0"/>
        <w:rPr>
          <w:rFonts w:hint="eastAsia" w:ascii="宋体" w:hAnsi="宋体" w:eastAsia="宋体" w:cs="宋体"/>
          <w:b/>
          <w:color w:val="000000"/>
          <w:sz w:val="24"/>
          <w:szCs w:val="24"/>
          <w:highlight w:val="none"/>
          <w:lang w:val="en-US" w:eastAsia="zh-CN" w:bidi="zh-CN"/>
        </w:rPr>
      </w:pPr>
      <w:r>
        <w:rPr>
          <w:rFonts w:hint="eastAsia" w:ascii="宋体" w:hAnsi="宋体" w:eastAsia="宋体" w:cs="宋体"/>
          <w:b/>
          <w:color w:val="000000"/>
          <w:sz w:val="24"/>
          <w:szCs w:val="24"/>
          <w:highlight w:val="none"/>
          <w:lang w:val="en-US" w:eastAsia="zh-CN" w:bidi="zh-CN"/>
        </w:rPr>
        <w:t>2.6.4 ChatBI智能报表</w:t>
      </w:r>
    </w:p>
    <w:p w14:paraId="6F06BF89">
      <w:pPr>
        <w:ind w:left="630"/>
        <w:rPr>
          <w:rFonts w:hint="eastAsia" w:ascii="宋体" w:hAnsi="宋体" w:eastAsia="宋体" w:cs="宋体"/>
          <w:sz w:val="24"/>
          <w:szCs w:val="24"/>
          <w:highlight w:val="none"/>
          <w:lang w:val="en-US"/>
        </w:rPr>
      </w:pPr>
    </w:p>
    <w:p w14:paraId="1EA79C1B">
      <w:pPr>
        <w:ind w:firstLine="480" w:firstLineChars="200"/>
        <w:rPr>
          <w:rFonts w:hint="eastAsia" w:ascii="宋体" w:hAnsi="宋体" w:eastAsia="宋体" w:cs="宋体"/>
          <w:bCs/>
          <w:color w:val="000000"/>
          <w:sz w:val="24"/>
          <w:szCs w:val="24"/>
          <w:highlight w:val="none"/>
          <w:lang w:val="en-US"/>
        </w:rPr>
      </w:pPr>
      <w:r>
        <w:rPr>
          <w:rFonts w:hint="eastAsia" w:ascii="宋体" w:hAnsi="宋体" w:eastAsia="宋体" w:cs="宋体"/>
          <w:bCs/>
          <w:color w:val="000000"/>
          <w:sz w:val="24"/>
          <w:szCs w:val="24"/>
          <w:highlight w:val="none"/>
          <w:lang w:val="en-US"/>
        </w:rPr>
        <w:t>BI引入ChatBI作为多维可扩展报表。可显著降低对用户的技术要求，让用户聚焦业务需求，最大化的利用AI的语义分析和数据处理能力，让用户实现基于自然语言描述自动化的生成所需的多维可视化报表。</w:t>
      </w:r>
    </w:p>
    <w:p w14:paraId="55EB56D9">
      <w:pPr>
        <w:ind w:firstLine="480" w:firstLineChars="200"/>
        <w:rPr>
          <w:rFonts w:hint="eastAsia" w:ascii="宋体" w:hAnsi="宋体" w:eastAsia="宋体" w:cs="宋体"/>
          <w:bCs/>
          <w:color w:val="000000"/>
          <w:sz w:val="24"/>
          <w:szCs w:val="24"/>
          <w:highlight w:val="none"/>
          <w:lang w:val="en-US"/>
        </w:rPr>
      </w:pPr>
      <w:r>
        <w:rPr>
          <w:rFonts w:hint="eastAsia" w:ascii="宋体" w:hAnsi="宋体" w:eastAsia="宋体" w:cs="宋体"/>
          <w:bCs/>
          <w:color w:val="000000"/>
          <w:sz w:val="24"/>
          <w:szCs w:val="24"/>
          <w:highlight w:val="none"/>
          <w:lang w:val="en-US"/>
        </w:rPr>
        <w:t>基本处理流程：</w:t>
      </w:r>
    </w:p>
    <w:p w14:paraId="6548A04C">
      <w:pPr>
        <w:ind w:firstLine="480" w:firstLineChars="200"/>
        <w:rPr>
          <w:rFonts w:hint="eastAsia" w:ascii="宋体" w:hAnsi="宋体" w:eastAsia="宋体" w:cs="宋体"/>
          <w:b/>
          <w:color w:val="000000"/>
          <w:sz w:val="24"/>
          <w:szCs w:val="24"/>
          <w:highlight w:val="none"/>
          <w:lang w:val="en-US" w:eastAsia="zh-CN" w:bidi="zh-CN"/>
        </w:rPr>
      </w:pPr>
      <w:r>
        <w:rPr>
          <w:rFonts w:hint="eastAsia" w:ascii="宋体" w:hAnsi="宋体" w:eastAsia="宋体" w:cs="宋体"/>
          <w:bCs/>
          <w:color w:val="000000"/>
          <w:sz w:val="24"/>
          <w:szCs w:val="24"/>
          <w:highlight w:val="none"/>
          <w:lang w:val="en-US"/>
        </w:rPr>
        <w:t>用户用自然语言提问 → ChatBI理解意图 → 匹配业务规则 → 生成SQL → 查询数据 → 生成解释 → 返回答案</w:t>
      </w:r>
    </w:p>
    <w:p w14:paraId="44D55515">
      <w:pPr>
        <w:pStyle w:val="5"/>
        <w:numPr>
          <w:ilvl w:val="3"/>
          <w:numId w:val="0"/>
        </w:numPr>
        <w:ind w:left="397" w:leftChars="-52" w:right="220" w:rightChars="0" w:hanging="506" w:hangingChars="21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rPr>
        <w:t xml:space="preserve">2.7 </w:t>
      </w:r>
      <w:r>
        <w:rPr>
          <w:rFonts w:hint="eastAsia" w:ascii="宋体" w:hAnsi="宋体" w:eastAsia="宋体" w:cs="宋体"/>
          <w:b/>
          <w:color w:val="000000"/>
          <w:sz w:val="24"/>
          <w:szCs w:val="24"/>
          <w:highlight w:val="none"/>
          <w:lang w:val="en-US" w:eastAsia="zh-CN" w:bidi="zh-CN"/>
        </w:rPr>
        <w:t>系统集成模块</w:t>
      </w:r>
    </w:p>
    <w:p w14:paraId="24005FE3">
      <w:pPr>
        <w:ind w:firstLine="480" w:firstLineChars="200"/>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支持 ERP、MES、CRM、WMS、SRM、TMS 等多类业务系统多模式对接采集，完成异构数据清洗、标准化融合，搭建订单至出库全链路统一数据底座；具备集成通道可视化配置、数据同步监控、异常告警、传输安全管控能力，向上支撑诊断、分析类模块调用全域数据，实现多系统数据互通与业务联动。</w:t>
      </w:r>
    </w:p>
    <w:p w14:paraId="579DA25C">
      <w:pPr>
        <w:pStyle w:val="6"/>
        <w:numPr>
          <w:ilvl w:val="4"/>
          <w:numId w:val="0"/>
        </w:numPr>
        <w:ind w:left="1008" w:leftChars="0" w:hanging="1008" w:firstLineChars="0"/>
        <w:rPr>
          <w:rFonts w:hint="eastAsia" w:ascii="宋体" w:hAnsi="宋体" w:eastAsia="宋体" w:cs="宋体"/>
          <w:b/>
          <w:color w:val="000000"/>
          <w:sz w:val="24"/>
          <w:szCs w:val="24"/>
          <w:highlight w:val="none"/>
          <w:lang w:val="en-US" w:eastAsia="zh-CN" w:bidi="zh-CN"/>
        </w:rPr>
      </w:pPr>
      <w:r>
        <w:rPr>
          <w:rFonts w:hint="eastAsia" w:ascii="宋体" w:hAnsi="宋体" w:eastAsia="宋体" w:cs="宋体"/>
          <w:sz w:val="24"/>
          <w:szCs w:val="24"/>
          <w:highlight w:val="none"/>
          <w:lang w:val="en-US" w:eastAsia="zh-CN"/>
        </w:rPr>
        <w:t xml:space="preserve">2.7.1 </w:t>
      </w:r>
      <w:r>
        <w:rPr>
          <w:rFonts w:hint="eastAsia" w:ascii="宋体" w:hAnsi="宋体" w:eastAsia="宋体" w:cs="宋体"/>
          <w:b/>
          <w:color w:val="000000"/>
          <w:sz w:val="24"/>
          <w:szCs w:val="24"/>
          <w:highlight w:val="none"/>
          <w:lang w:val="en-US" w:eastAsia="zh-CN" w:bidi="zh-CN"/>
        </w:rPr>
        <w:t>对接适配指标</w:t>
      </w:r>
    </w:p>
    <w:p w14:paraId="39616615">
      <w:pPr>
        <w:ind w:firstLine="480" w:firstLineChars="200"/>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接入方式：支持数据库直连、HTTP</w:t>
      </w:r>
      <w:r>
        <w:rPr>
          <w:rFonts w:hint="eastAsia" w:ascii="宋体" w:hAnsi="宋体" w:eastAsia="宋体" w:cs="宋体"/>
          <w:bCs/>
          <w:color w:val="000000"/>
          <w:sz w:val="24"/>
          <w:szCs w:val="24"/>
          <w:highlight w:val="none"/>
          <w:lang w:val="en-US" w:eastAsia="zh-CN"/>
        </w:rPr>
        <w:noBreakHyphen/>
      </w:r>
      <w:r>
        <w:rPr>
          <w:rFonts w:hint="eastAsia" w:ascii="宋体" w:hAnsi="宋体" w:eastAsia="宋体" w:cs="宋体"/>
          <w:bCs/>
          <w:color w:val="000000"/>
          <w:sz w:val="24"/>
          <w:szCs w:val="24"/>
          <w:highlight w:val="none"/>
          <w:lang w:val="en-US" w:eastAsia="zh-CN"/>
        </w:rPr>
        <w:t>API、WebService、FTP 文件、MQ 消息、物联网网关 6 种接入方式；</w:t>
      </w:r>
    </w:p>
    <w:p w14:paraId="030328C6">
      <w:pPr>
        <w:ind w:firstLine="480" w:firstLineChars="200"/>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兼容版本：适配主流国产及市面通用 ERP、MES、WMS 等系统；支持定时同步和实时同步两种模式；</w:t>
      </w:r>
    </w:p>
    <w:p w14:paraId="4A3E2933">
      <w:pPr>
        <w:ind w:firstLine="480" w:firstLineChars="200"/>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可扩展：可视化配置页面，新增一套第三方系统配置完成时间≤4 小时，不用编写大量代码。</w:t>
      </w:r>
    </w:p>
    <w:p w14:paraId="2D1CD1BA">
      <w:pPr>
        <w:ind w:firstLine="480" w:firstLineChars="200"/>
        <w:rPr>
          <w:rFonts w:hint="eastAsia" w:ascii="宋体" w:hAnsi="宋体" w:eastAsia="宋体" w:cs="宋体"/>
          <w:bCs/>
          <w:color w:val="000000"/>
          <w:sz w:val="24"/>
          <w:szCs w:val="24"/>
          <w:highlight w:val="none"/>
          <w:lang w:val="en-US" w:eastAsia="zh-CN"/>
        </w:rPr>
      </w:pPr>
    </w:p>
    <w:p w14:paraId="083297D0">
      <w:pPr>
        <w:pStyle w:val="6"/>
        <w:numPr>
          <w:ilvl w:val="4"/>
          <w:numId w:val="0"/>
        </w:numPr>
        <w:ind w:left="1008" w:leftChars="0" w:hanging="1008" w:firstLineChars="0"/>
        <w:rPr>
          <w:rFonts w:hint="eastAsia" w:ascii="宋体" w:hAnsi="宋体" w:eastAsia="宋体" w:cs="宋体"/>
          <w:b/>
          <w:sz w:val="24"/>
          <w:szCs w:val="24"/>
          <w:highlight w:val="none"/>
          <w:lang w:val="en-US" w:eastAsia="zh-CN" w:bidi="zh-CN"/>
        </w:rPr>
      </w:pPr>
      <w:r>
        <w:rPr>
          <w:rFonts w:hint="eastAsia" w:ascii="宋体" w:hAnsi="宋体" w:eastAsia="宋体" w:cs="宋体"/>
          <w:b/>
          <w:sz w:val="24"/>
          <w:szCs w:val="24"/>
          <w:highlight w:val="none"/>
          <w:lang w:val="en-US" w:eastAsia="zh-CN" w:bidi="zh-CN"/>
        </w:rPr>
        <w:t>2.7.2 数据传输性能指标</w:t>
      </w:r>
    </w:p>
    <w:p w14:paraId="03CBCA35">
      <w:pPr>
        <w:ind w:firstLine="480" w:firstLineChars="200"/>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实时同步场景：业务数据变更后，推送至平台时延≤2</w:t>
      </w:r>
      <w:r>
        <w:rPr>
          <w:rFonts w:hint="eastAsia" w:ascii="宋体" w:hAnsi="宋体" w:eastAsia="宋体" w:cs="宋体"/>
          <w:bCs/>
          <w:color w:val="000000"/>
          <w:sz w:val="24"/>
          <w:szCs w:val="24"/>
          <w:highlight w:val="none"/>
          <w:lang w:val="en-US" w:eastAsia="zh-CN"/>
        </w:rPr>
        <w:noBreakHyphen/>
      </w:r>
      <w:r>
        <w:rPr>
          <w:rFonts w:hint="eastAsia" w:ascii="宋体" w:hAnsi="宋体" w:eastAsia="宋体" w:cs="宋体"/>
          <w:bCs/>
          <w:color w:val="000000"/>
          <w:sz w:val="24"/>
          <w:szCs w:val="24"/>
          <w:highlight w:val="none"/>
          <w:lang w:val="en-US" w:eastAsia="zh-CN"/>
        </w:rPr>
        <w:t>5 秒；</w:t>
      </w:r>
    </w:p>
    <w:p w14:paraId="35B9F0ED">
      <w:pPr>
        <w:ind w:firstLine="480" w:firstLineChars="200"/>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定时同步：夜间批量同步，1000 万条明细数据传输 + 清洗转换≤30 分钟；</w:t>
      </w:r>
    </w:p>
    <w:p w14:paraId="5AFA98C8">
      <w:pPr>
        <w:ind w:firstLine="480" w:firstLineChars="200"/>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传输容错：支持断点续传，网络中断恢复之后自动续传，不会重复入库或者丢失数据；</w:t>
      </w:r>
    </w:p>
    <w:p w14:paraId="06F0DBE6">
      <w:pPr>
        <w:ind w:firstLine="480" w:firstLineChars="200"/>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数据清洗：自动完成字段标准化、空值过滤、异常值标记、编码统一。</w:t>
      </w:r>
    </w:p>
    <w:p w14:paraId="1B3BBF3E">
      <w:pPr>
        <w:rPr>
          <w:rFonts w:hint="eastAsia" w:ascii="宋体" w:hAnsi="宋体" w:eastAsia="宋体" w:cs="宋体"/>
          <w:sz w:val="24"/>
          <w:szCs w:val="24"/>
          <w:highlight w:val="none"/>
          <w:lang w:val="en-US" w:eastAsia="zh-CN"/>
        </w:rPr>
      </w:pPr>
    </w:p>
    <w:p w14:paraId="63B55B91">
      <w:pPr>
        <w:pStyle w:val="5"/>
        <w:numPr>
          <w:ilvl w:val="3"/>
          <w:numId w:val="0"/>
        </w:numPr>
        <w:ind w:left="397" w:leftChars="-52" w:right="220" w:rightChars="0" w:hanging="506" w:hangingChars="210"/>
        <w:rPr>
          <w:rFonts w:hint="eastAsia" w:ascii="宋体" w:hAnsi="宋体" w:eastAsia="宋体" w:cs="宋体"/>
          <w:b/>
          <w:sz w:val="24"/>
          <w:szCs w:val="24"/>
          <w:highlight w:val="none"/>
          <w:lang w:val="en-US"/>
        </w:rPr>
      </w:pPr>
      <w:r>
        <w:rPr>
          <w:rFonts w:hint="eastAsia" w:ascii="宋体" w:hAnsi="宋体" w:eastAsia="宋体" w:cs="宋体"/>
          <w:b/>
          <w:sz w:val="24"/>
          <w:szCs w:val="24"/>
          <w:highlight w:val="none"/>
          <w:lang w:val="en-US"/>
        </w:rPr>
        <w:t>2.8</w:t>
      </w:r>
      <w:r>
        <w:rPr>
          <w:rFonts w:hint="eastAsia" w:ascii="宋体" w:hAnsi="宋体" w:eastAsia="宋体" w:cs="宋体"/>
          <w:b/>
          <w:sz w:val="24"/>
          <w:szCs w:val="24"/>
          <w:highlight w:val="none"/>
          <w:lang w:val="en-US" w:eastAsia="zh"/>
        </w:rPr>
        <w:t xml:space="preserve"> </w:t>
      </w:r>
      <w:r>
        <w:rPr>
          <w:rFonts w:hint="eastAsia" w:ascii="宋体" w:hAnsi="宋体" w:eastAsia="宋体" w:cs="宋体"/>
          <w:b/>
          <w:sz w:val="24"/>
          <w:szCs w:val="24"/>
          <w:highlight w:val="none"/>
          <w:lang w:val="en-US"/>
        </w:rPr>
        <w:t>移动端应用</w:t>
      </w:r>
    </w:p>
    <w:p w14:paraId="1FD0DB79">
      <w:pPr>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w:t>
      </w:r>
      <w:r>
        <w:rPr>
          <w:rFonts w:hint="eastAsia" w:ascii="宋体" w:hAnsi="宋体" w:eastAsia="宋体" w:cs="宋体"/>
          <w:b/>
          <w:color w:val="000000"/>
          <w:sz w:val="24"/>
          <w:szCs w:val="24"/>
          <w:highlight w:val="none"/>
          <w:lang w:val="en-US"/>
        </w:rPr>
        <w:t>1</w:t>
      </w:r>
      <w:r>
        <w:rPr>
          <w:rFonts w:hint="eastAsia" w:ascii="宋体" w:hAnsi="宋体" w:eastAsia="宋体" w:cs="宋体"/>
          <w:b/>
          <w:color w:val="000000"/>
          <w:sz w:val="24"/>
          <w:szCs w:val="24"/>
          <w:highlight w:val="none"/>
        </w:rPr>
        <w:t>）核心目标</w:t>
      </w:r>
    </w:p>
    <w:p w14:paraId="59CA2D88">
      <w:pPr>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通过</w:t>
      </w:r>
      <w:r>
        <w:rPr>
          <w:rFonts w:hint="eastAsia" w:ascii="宋体" w:hAnsi="宋体" w:eastAsia="宋体" w:cs="宋体"/>
          <w:bCs/>
          <w:color w:val="000000"/>
          <w:sz w:val="24"/>
          <w:szCs w:val="24"/>
          <w:highlight w:val="none"/>
          <w:lang w:eastAsia="zh"/>
        </w:rPr>
        <w:t>手机</w:t>
      </w:r>
      <w:r>
        <w:rPr>
          <w:rFonts w:hint="eastAsia" w:ascii="宋体" w:hAnsi="宋体" w:eastAsia="宋体" w:cs="宋体"/>
          <w:bCs/>
          <w:color w:val="000000"/>
          <w:sz w:val="24"/>
          <w:szCs w:val="24"/>
          <w:highlight w:val="none"/>
          <w:lang w:val="en-US"/>
        </w:rPr>
        <w:t>应用形式让DOP平台核心功能“随时随地可用”，聚焦管理层</w:t>
      </w:r>
      <w:r>
        <w:rPr>
          <w:rFonts w:hint="eastAsia" w:ascii="宋体" w:hAnsi="宋体" w:eastAsia="宋体" w:cs="宋体"/>
          <w:bCs/>
          <w:color w:val="000000"/>
          <w:sz w:val="24"/>
          <w:szCs w:val="24"/>
          <w:highlight w:val="none"/>
          <w:lang w:val="en-US" w:eastAsia="zh"/>
        </w:rPr>
        <w:t>快速</w:t>
      </w:r>
      <w:r>
        <w:rPr>
          <w:rFonts w:hint="eastAsia" w:ascii="宋体" w:hAnsi="宋体" w:eastAsia="宋体" w:cs="宋体"/>
          <w:bCs/>
          <w:color w:val="000000"/>
          <w:sz w:val="24"/>
          <w:szCs w:val="24"/>
          <w:highlight w:val="none"/>
          <w:lang w:val="en-US"/>
        </w:rPr>
        <w:t>决策，解决PC端操作不便、响应滞后的痛点，实现“移动办公+实时协同+快速响应”</w:t>
      </w:r>
      <w:r>
        <w:rPr>
          <w:rFonts w:hint="eastAsia" w:ascii="宋体" w:hAnsi="宋体" w:eastAsia="宋体" w:cs="宋体"/>
          <w:bCs/>
          <w:color w:val="000000"/>
          <w:sz w:val="24"/>
          <w:szCs w:val="24"/>
          <w:highlight w:val="none"/>
        </w:rPr>
        <w:t>。</w:t>
      </w:r>
    </w:p>
    <w:p w14:paraId="208D3FC8">
      <w:pPr>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w:t>
      </w:r>
      <w:r>
        <w:rPr>
          <w:rFonts w:hint="eastAsia" w:ascii="宋体" w:hAnsi="宋体" w:eastAsia="宋体" w:cs="宋体"/>
          <w:b/>
          <w:color w:val="000000"/>
          <w:sz w:val="24"/>
          <w:szCs w:val="24"/>
          <w:highlight w:val="none"/>
          <w:lang w:val="en-US"/>
        </w:rPr>
        <w:t>2</w:t>
      </w:r>
      <w:r>
        <w:rPr>
          <w:rFonts w:hint="eastAsia" w:ascii="宋体" w:hAnsi="宋体" w:eastAsia="宋体" w:cs="宋体"/>
          <w:b/>
          <w:color w:val="000000"/>
          <w:sz w:val="24"/>
          <w:szCs w:val="24"/>
          <w:highlight w:val="none"/>
        </w:rPr>
        <w:t>）详细实施内容</w:t>
      </w:r>
    </w:p>
    <w:p w14:paraId="777D67EF">
      <w:pPr>
        <w:pStyle w:val="6"/>
        <w:numPr>
          <w:ilvl w:val="4"/>
          <w:numId w:val="0"/>
        </w:numPr>
        <w:ind w:left="1008" w:leftChars="0" w:hanging="1008" w:firstLineChars="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2.8.1 生产执行</w:t>
      </w:r>
    </w:p>
    <w:p w14:paraId="76503F1D">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lang w:val="en-US"/>
        </w:rPr>
        <w:t>工单处理</w:t>
      </w:r>
      <w:r>
        <w:rPr>
          <w:rFonts w:hint="eastAsia" w:ascii="宋体" w:hAnsi="宋体" w:eastAsia="宋体" w:cs="宋体"/>
          <w:b/>
          <w:color w:val="000000"/>
          <w:sz w:val="24"/>
          <w:szCs w:val="24"/>
          <w:highlight w:val="none"/>
        </w:rPr>
        <w:t>：</w:t>
      </w:r>
      <w:r>
        <w:rPr>
          <w:rFonts w:hint="eastAsia" w:ascii="宋体" w:hAnsi="宋体" w:eastAsia="宋体" w:cs="宋体"/>
          <w:bCs/>
          <w:color w:val="000000"/>
          <w:sz w:val="24"/>
          <w:szCs w:val="24"/>
          <w:highlight w:val="none"/>
        </w:rPr>
        <w:t>通过移动端</w:t>
      </w:r>
      <w:r>
        <w:rPr>
          <w:rFonts w:hint="eastAsia" w:ascii="宋体" w:hAnsi="宋体" w:eastAsia="宋体" w:cs="宋体"/>
          <w:bCs/>
          <w:color w:val="000000"/>
          <w:sz w:val="24"/>
          <w:szCs w:val="24"/>
          <w:highlight w:val="none"/>
          <w:lang w:val="en-US"/>
        </w:rPr>
        <w:t>查询生产计划</w:t>
      </w:r>
      <w:r>
        <w:rPr>
          <w:rFonts w:hint="eastAsia" w:ascii="宋体" w:hAnsi="宋体" w:eastAsia="宋体" w:cs="宋体"/>
          <w:bCs/>
          <w:color w:val="000000"/>
          <w:sz w:val="24"/>
          <w:szCs w:val="24"/>
          <w:highlight w:val="none"/>
        </w:rPr>
        <w:t>，</w:t>
      </w:r>
      <w:r>
        <w:rPr>
          <w:rFonts w:hint="eastAsia" w:ascii="宋体" w:hAnsi="宋体" w:eastAsia="宋体" w:cs="宋体"/>
          <w:bCs/>
          <w:color w:val="000000"/>
          <w:sz w:val="24"/>
          <w:szCs w:val="24"/>
          <w:highlight w:val="none"/>
          <w:lang w:eastAsia="zh"/>
        </w:rPr>
        <w:t>查询</w:t>
      </w:r>
      <w:r>
        <w:rPr>
          <w:rFonts w:hint="eastAsia" w:ascii="宋体" w:hAnsi="宋体" w:eastAsia="宋体" w:cs="宋体"/>
          <w:bCs/>
          <w:color w:val="000000"/>
          <w:sz w:val="24"/>
          <w:szCs w:val="24"/>
          <w:highlight w:val="none"/>
        </w:rPr>
        <w:t>物料齐套状态（同步S5数据），</w:t>
      </w:r>
      <w:r>
        <w:rPr>
          <w:rFonts w:hint="eastAsia" w:ascii="宋体" w:hAnsi="宋体" w:eastAsia="宋体" w:cs="宋体"/>
          <w:bCs/>
          <w:color w:val="000000"/>
          <w:sz w:val="24"/>
          <w:szCs w:val="24"/>
          <w:highlight w:val="none"/>
          <w:lang w:eastAsia="zh"/>
        </w:rPr>
        <w:t>查询</w:t>
      </w:r>
      <w:r>
        <w:rPr>
          <w:rFonts w:hint="eastAsia" w:ascii="宋体" w:hAnsi="宋体" w:eastAsia="宋体" w:cs="宋体"/>
          <w:bCs/>
          <w:color w:val="000000"/>
          <w:sz w:val="24"/>
          <w:szCs w:val="24"/>
          <w:highlight w:val="none"/>
        </w:rPr>
        <w:t>生产</w:t>
      </w:r>
      <w:r>
        <w:rPr>
          <w:rFonts w:hint="eastAsia" w:ascii="宋体" w:hAnsi="宋体" w:eastAsia="宋体" w:cs="宋体"/>
          <w:bCs/>
          <w:color w:val="000000"/>
          <w:sz w:val="24"/>
          <w:szCs w:val="24"/>
          <w:highlight w:val="none"/>
          <w:lang w:val="en-US"/>
        </w:rPr>
        <w:t>指令的投产和报工</w:t>
      </w:r>
      <w:r>
        <w:rPr>
          <w:rFonts w:hint="eastAsia" w:ascii="宋体" w:hAnsi="宋体" w:eastAsia="宋体" w:cs="宋体"/>
          <w:bCs/>
          <w:color w:val="000000"/>
          <w:sz w:val="24"/>
          <w:szCs w:val="24"/>
          <w:highlight w:val="none"/>
        </w:rPr>
        <w:t>；</w:t>
      </w:r>
    </w:p>
    <w:p w14:paraId="6EC0F56F">
      <w:pPr>
        <w:pStyle w:val="6"/>
        <w:numPr>
          <w:ilvl w:val="4"/>
          <w:numId w:val="0"/>
        </w:numPr>
        <w:ind w:left="1008" w:leftChars="0" w:hanging="1008" w:firstLineChars="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2.</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lang w:val="en-US"/>
        </w:rPr>
        <w:t>.2 仓储物流</w:t>
      </w:r>
    </w:p>
    <w:p w14:paraId="4D79A8D0">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库存查询：</w:t>
      </w:r>
      <w:r>
        <w:rPr>
          <w:rFonts w:hint="eastAsia" w:ascii="宋体" w:hAnsi="宋体" w:eastAsia="宋体" w:cs="宋体"/>
          <w:bCs/>
          <w:color w:val="000000"/>
          <w:sz w:val="24"/>
          <w:szCs w:val="24"/>
          <w:highlight w:val="none"/>
        </w:rPr>
        <w:t>实时查看原料、成品库存数量、库位信息，支持按物料编码、订单号检索。</w:t>
      </w:r>
    </w:p>
    <w:p w14:paraId="4F0F5140">
      <w:pPr>
        <w:pStyle w:val="6"/>
        <w:numPr>
          <w:ilvl w:val="4"/>
          <w:numId w:val="0"/>
        </w:numPr>
        <w:ind w:left="1008" w:leftChars="0" w:hanging="1008" w:firstLineChars="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2.8.3 质量管理</w:t>
      </w:r>
    </w:p>
    <w:p w14:paraId="050F4B13">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检验任务</w:t>
      </w:r>
      <w:r>
        <w:rPr>
          <w:rFonts w:hint="eastAsia" w:ascii="宋体" w:hAnsi="宋体" w:eastAsia="宋体" w:cs="宋体"/>
          <w:b/>
          <w:color w:val="000000"/>
          <w:sz w:val="24"/>
          <w:szCs w:val="24"/>
          <w:highlight w:val="none"/>
          <w:lang w:eastAsia="zh"/>
        </w:rPr>
        <w:t>查询</w:t>
      </w:r>
      <w:r>
        <w:rPr>
          <w:rFonts w:hint="eastAsia" w:ascii="宋体" w:hAnsi="宋体" w:eastAsia="宋体" w:cs="宋体"/>
          <w:b/>
          <w:color w:val="000000"/>
          <w:sz w:val="24"/>
          <w:szCs w:val="24"/>
          <w:highlight w:val="none"/>
        </w:rPr>
        <w:t>：</w:t>
      </w:r>
      <w:r>
        <w:rPr>
          <w:rFonts w:hint="eastAsia" w:ascii="宋体" w:hAnsi="宋体" w:eastAsia="宋体" w:cs="宋体"/>
          <w:bCs/>
          <w:color w:val="000000"/>
          <w:sz w:val="24"/>
          <w:szCs w:val="24"/>
          <w:highlight w:val="none"/>
        </w:rPr>
        <w:t>来料检验</w:t>
      </w:r>
      <w:r>
        <w:rPr>
          <w:rFonts w:hint="eastAsia" w:ascii="宋体" w:hAnsi="宋体" w:eastAsia="宋体" w:cs="宋体"/>
          <w:bCs/>
          <w:color w:val="000000"/>
          <w:sz w:val="24"/>
          <w:szCs w:val="24"/>
          <w:highlight w:val="none"/>
          <w:lang w:eastAsia="zh"/>
        </w:rPr>
        <w:t>报表</w:t>
      </w:r>
      <w:r>
        <w:rPr>
          <w:rFonts w:hint="eastAsia" w:ascii="宋体" w:hAnsi="宋体" w:eastAsia="宋体" w:cs="宋体"/>
          <w:bCs/>
          <w:color w:val="000000"/>
          <w:sz w:val="24"/>
          <w:szCs w:val="24"/>
          <w:highlight w:val="none"/>
        </w:rPr>
        <w:t>、过程检验</w:t>
      </w:r>
      <w:r>
        <w:rPr>
          <w:rFonts w:hint="eastAsia" w:ascii="宋体" w:hAnsi="宋体" w:eastAsia="宋体" w:cs="宋体"/>
          <w:bCs/>
          <w:color w:val="000000"/>
          <w:sz w:val="24"/>
          <w:szCs w:val="24"/>
          <w:highlight w:val="none"/>
          <w:lang w:eastAsia="zh"/>
        </w:rPr>
        <w:t>报表</w:t>
      </w:r>
      <w:r>
        <w:rPr>
          <w:rFonts w:hint="eastAsia" w:ascii="宋体" w:hAnsi="宋体" w:eastAsia="宋体" w:cs="宋体"/>
          <w:bCs/>
          <w:color w:val="000000"/>
          <w:sz w:val="24"/>
          <w:szCs w:val="24"/>
          <w:highlight w:val="none"/>
        </w:rPr>
        <w:t>。</w:t>
      </w:r>
    </w:p>
    <w:p w14:paraId="2B5B9A76">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检验结果</w:t>
      </w:r>
      <w:r>
        <w:rPr>
          <w:rFonts w:hint="eastAsia" w:ascii="宋体" w:hAnsi="宋体" w:eastAsia="宋体" w:cs="宋体"/>
          <w:b/>
          <w:color w:val="000000"/>
          <w:sz w:val="24"/>
          <w:szCs w:val="24"/>
          <w:highlight w:val="none"/>
          <w:lang w:eastAsia="zh"/>
        </w:rPr>
        <w:t>查询</w:t>
      </w:r>
      <w:r>
        <w:rPr>
          <w:rFonts w:hint="eastAsia" w:ascii="宋体" w:hAnsi="宋体" w:eastAsia="宋体" w:cs="宋体"/>
          <w:b/>
          <w:color w:val="000000"/>
          <w:sz w:val="24"/>
          <w:szCs w:val="24"/>
          <w:highlight w:val="none"/>
        </w:rPr>
        <w:t>：</w:t>
      </w:r>
      <w:r>
        <w:rPr>
          <w:rFonts w:hint="eastAsia" w:ascii="宋体" w:hAnsi="宋体" w:eastAsia="宋体" w:cs="宋体"/>
          <w:bCs/>
          <w:color w:val="000000"/>
          <w:sz w:val="24"/>
          <w:szCs w:val="24"/>
          <w:highlight w:val="none"/>
        </w:rPr>
        <w:t>成品</w:t>
      </w:r>
      <w:r>
        <w:rPr>
          <w:rFonts w:hint="eastAsia" w:ascii="宋体" w:hAnsi="宋体" w:eastAsia="宋体" w:cs="宋体"/>
          <w:bCs/>
          <w:color w:val="000000"/>
          <w:sz w:val="24"/>
          <w:szCs w:val="24"/>
          <w:highlight w:val="none"/>
          <w:lang w:eastAsia="zh"/>
        </w:rPr>
        <w:t>检验报表</w:t>
      </w:r>
      <w:r>
        <w:rPr>
          <w:rFonts w:hint="eastAsia" w:ascii="宋体" w:hAnsi="宋体" w:eastAsia="宋体" w:cs="宋体"/>
          <w:bCs/>
          <w:color w:val="000000"/>
          <w:sz w:val="24"/>
          <w:szCs w:val="24"/>
          <w:highlight w:val="none"/>
        </w:rPr>
        <w:t>。</w:t>
      </w:r>
    </w:p>
    <w:p w14:paraId="37CB40D9">
      <w:pPr>
        <w:pStyle w:val="6"/>
        <w:numPr>
          <w:ilvl w:val="4"/>
          <w:numId w:val="0"/>
        </w:numPr>
        <w:ind w:left="1008" w:leftChars="0" w:hanging="1008" w:firstLineChars="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2.</w:t>
      </w:r>
      <w:r>
        <w:rPr>
          <w:rFonts w:hint="eastAsia" w:ascii="宋体" w:hAnsi="宋体" w:eastAsia="宋体" w:cs="宋体"/>
          <w:sz w:val="24"/>
          <w:szCs w:val="24"/>
          <w:highlight w:val="none"/>
          <w:lang w:val="en-US" w:eastAsia="zh"/>
        </w:rPr>
        <w:t>8</w:t>
      </w:r>
      <w:r>
        <w:rPr>
          <w:rFonts w:hint="eastAsia" w:ascii="宋体" w:hAnsi="宋体" w:eastAsia="宋体" w:cs="宋体"/>
          <w:sz w:val="24"/>
          <w:szCs w:val="24"/>
          <w:highlight w:val="none"/>
          <w:lang w:val="en-US"/>
        </w:rPr>
        <w:t>.4 协同决策</w:t>
      </w:r>
    </w:p>
    <w:p w14:paraId="632A189E">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订单进度跟踪：</w:t>
      </w:r>
      <w:r>
        <w:rPr>
          <w:rFonts w:hint="eastAsia" w:ascii="宋体" w:hAnsi="宋体" w:eastAsia="宋体" w:cs="宋体"/>
          <w:bCs/>
          <w:color w:val="000000"/>
          <w:sz w:val="24"/>
          <w:szCs w:val="24"/>
          <w:highlight w:val="none"/>
        </w:rPr>
        <w:t>销售专员查看订单评审、生产、发货全流程进度，接收交付预警提醒（如订单延期）。</w:t>
      </w:r>
    </w:p>
    <w:p w14:paraId="75CE16A1">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供应商协同：</w:t>
      </w:r>
      <w:r>
        <w:rPr>
          <w:rFonts w:hint="eastAsia" w:ascii="宋体" w:hAnsi="宋体" w:eastAsia="宋体" w:cs="宋体"/>
          <w:bCs/>
          <w:color w:val="000000"/>
          <w:sz w:val="24"/>
          <w:szCs w:val="24"/>
          <w:highlight w:val="none"/>
        </w:rPr>
        <w:t>采购专员接收供应商交期回复、发货通知，查看来料检验结果，</w:t>
      </w:r>
      <w:r>
        <w:rPr>
          <w:rFonts w:hint="eastAsia" w:ascii="宋体" w:hAnsi="宋体" w:eastAsia="宋体" w:cs="宋体"/>
          <w:bCs/>
          <w:sz w:val="24"/>
          <w:szCs w:val="24"/>
          <w:highlight w:val="none"/>
        </w:rPr>
        <w:t>对逾期</w:t>
      </w:r>
      <w:r>
        <w:rPr>
          <w:rFonts w:hint="eastAsia" w:ascii="宋体" w:hAnsi="宋体" w:eastAsia="宋体" w:cs="宋体"/>
          <w:bCs/>
          <w:sz w:val="24"/>
          <w:szCs w:val="24"/>
          <w:highlight w:val="none"/>
          <w:lang w:val="en-US"/>
        </w:rPr>
        <w:t>信息有相关</w:t>
      </w:r>
      <w:r>
        <w:rPr>
          <w:rFonts w:hint="eastAsia" w:ascii="宋体" w:hAnsi="宋体" w:eastAsia="宋体" w:cs="宋体"/>
          <w:bCs/>
          <w:sz w:val="24"/>
          <w:szCs w:val="24"/>
          <w:highlight w:val="none"/>
        </w:rPr>
        <w:t>提醒</w:t>
      </w:r>
      <w:r>
        <w:rPr>
          <w:rFonts w:hint="eastAsia" w:ascii="宋体" w:hAnsi="宋体" w:eastAsia="宋体" w:cs="宋体"/>
          <w:bCs/>
          <w:color w:val="000000"/>
          <w:sz w:val="24"/>
          <w:szCs w:val="24"/>
          <w:highlight w:val="none"/>
        </w:rPr>
        <w:t>。</w:t>
      </w:r>
    </w:p>
    <w:p w14:paraId="6C9ABB30">
      <w:pPr>
        <w:ind w:firstLine="482" w:firstLineChars="200"/>
        <w:rPr>
          <w:rFonts w:hint="eastAsia"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决策看板：</w:t>
      </w:r>
      <w:r>
        <w:rPr>
          <w:rFonts w:hint="eastAsia" w:ascii="宋体" w:hAnsi="宋体" w:eastAsia="宋体" w:cs="宋体"/>
          <w:bCs/>
          <w:color w:val="000000"/>
          <w:sz w:val="24"/>
          <w:szCs w:val="24"/>
          <w:highlight w:val="none"/>
        </w:rPr>
        <w:t>管理层查看核心KPI（OTD交付率、OEE、质量合格率）、异常统计（如月度设备故障Top3），支持数据下钻（如从“成品合格率”查看某批次不合格明细）。</w:t>
      </w:r>
    </w:p>
    <w:bookmarkEnd w:id="420"/>
    <w:bookmarkEnd w:id="421"/>
    <w:bookmarkEnd w:id="422"/>
    <w:p w14:paraId="101D8BA4">
      <w:pPr>
        <w:pStyle w:val="3"/>
        <w:numPr>
          <w:ilvl w:val="0"/>
          <w:numId w:val="23"/>
        </w:numPr>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技术总体要求</w:t>
      </w:r>
    </w:p>
    <w:p w14:paraId="1F182AF4">
      <w:pPr>
        <w:pStyle w:val="4"/>
        <w:numPr>
          <w:ilvl w:val="0"/>
          <w:numId w:val="47"/>
        </w:numPr>
        <w:ind w:leftChars="0" w:right="22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 xml:space="preserve">设计原则 </w:t>
      </w:r>
    </w:p>
    <w:p w14:paraId="2CE62A75">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数据互通性：建立统一的数据接口标准总线与API网关，实现异构系统的标准化对接。</w:t>
      </w:r>
    </w:p>
    <w:p w14:paraId="385B1AC9">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高安全性：实施从数据、应用到网络的多层次安全防护体系。</w:t>
      </w:r>
    </w:p>
    <w:p w14:paraId="68091FC8">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高可靠性：关键设备与组件应采用高可用架构，确保系统7x24小时稳定运行。</w:t>
      </w:r>
    </w:p>
    <w:p w14:paraId="75686B60">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灵活扩展性：支持功能模块与计算资源的平滑扩展，适应未来业务发展。</w:t>
      </w:r>
    </w:p>
    <w:p w14:paraId="3DCF917A">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易运维性：提供可视化的运维管理工具，降低后期运维难度与成本。</w:t>
      </w:r>
    </w:p>
    <w:p w14:paraId="603C2007">
      <w:pPr>
        <w:pStyle w:val="4"/>
        <w:numPr>
          <w:ilvl w:val="0"/>
          <w:numId w:val="47"/>
        </w:numPr>
        <w:ind w:leftChars="0" w:right="22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性能要求</w:t>
      </w:r>
    </w:p>
    <w:p w14:paraId="24591CAD">
      <w:pPr>
        <w:widowControl/>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bidi="ar-SA"/>
        </w:rPr>
        <w:t xml:space="preserve">（1）系统可用性与可靠性：全年可用性≥99%（核心业务模块可用性≥99%）；计划内维护不计入不可用时间；重大故障力争48小时内恢复； </w:t>
      </w:r>
    </w:p>
    <w:p w14:paraId="4531AB61">
      <w:pPr>
        <w:widowControl/>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bidi="ar-SA"/>
        </w:rPr>
        <w:t>（2）页面与操作响应：常规页面加载、普通查询及常规用户操作响应时间≤30秒；复杂查询、多表关联、大数据量列表、运营看板/多图联动等复杂操作响应时间≤60秒；超大数据量导出、全量重算、AI/ChatBI等按异步任务处理，不按页面秒级响应验收，任务状态可查询。</w:t>
      </w:r>
    </w:p>
    <w:p w14:paraId="5B6906EF">
      <w:pPr>
        <w:widowControl/>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bidi="ar-SA"/>
        </w:rPr>
        <w:t>（3）接口性能：常规业务接口平均响应时间≤30秒；复杂聚合接口平均响应时间≤60秒；接口调用成功率≥99%。上述指标不含客户端网络异常、用户主动取消，以及ERP/MES/OA等第三方系统超时或不可用导致的延迟。</w:t>
      </w:r>
    </w:p>
    <w:p w14:paraId="6ECA6F75">
      <w:pPr>
        <w:widowControl/>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bidi="ar-SA"/>
        </w:rPr>
        <w:t>（4）并发与容量：在约定硬件与部署架构下，系统最大支持约1000人同时在线、约400人并发操作；具备横向扩展能力，扩容后容量按部署方案评估，不承诺无上限线性扩展。</w:t>
      </w:r>
    </w:p>
    <w:p w14:paraId="28DBC542">
      <w:pPr>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bidi="ar-SA"/>
        </w:rPr>
        <w:t>（5）数据同步与批处理：在对接系统正常前提下，主数据及业务单据状态同步目标延迟不超过5分钟，异常情况不超过15分钟；KPI等日批任务按日调度完成即可；数据质量准确率≥98%。</w:t>
      </w:r>
    </w:p>
    <w:p w14:paraId="33AD4264">
      <w:pPr>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bidi="ar-SA"/>
        </w:rPr>
        <w:t>（6）业务时效类指标：紧急异常响应、安灯推送等业务时效要求，按本规范书功能章节约定执行，不在性能章节另行加严。</w:t>
      </w:r>
    </w:p>
    <w:p w14:paraId="63FFBD78">
      <w:pPr>
        <w:rPr>
          <w:rFonts w:hint="eastAsia" w:ascii="宋体" w:hAnsi="宋体" w:eastAsia="宋体" w:cs="宋体"/>
          <w:sz w:val="24"/>
          <w:szCs w:val="24"/>
          <w:highlight w:val="none"/>
        </w:rPr>
      </w:pPr>
      <w:r>
        <w:rPr>
          <w:rFonts w:hint="eastAsia" w:ascii="宋体" w:hAnsi="宋体" w:eastAsia="宋体" w:cs="宋体"/>
          <w:sz w:val="24"/>
          <w:szCs w:val="24"/>
          <w:highlight w:val="none"/>
          <w:lang w:val="en-US" w:bidi="ar-SA"/>
        </w:rPr>
        <w:t>（7）指标适用前提：性能指标以合同/部署方案约定的硬件规格、网络条件及典型数据量为前提；低于约定规格时，指标可按比例放宽或另行评估。</w:t>
      </w:r>
    </w:p>
    <w:p w14:paraId="21D54FD7">
      <w:pPr>
        <w:pStyle w:val="93"/>
        <w:jc w:val="both"/>
        <w:rPr>
          <w:rFonts w:hint="eastAsia" w:ascii="宋体" w:hAnsi="宋体" w:eastAsia="宋体" w:cs="宋体"/>
          <w:sz w:val="24"/>
          <w:szCs w:val="24"/>
          <w:highlight w:val="none"/>
        </w:rPr>
      </w:pPr>
    </w:p>
    <w:p w14:paraId="11881C76">
      <w:pPr>
        <w:pStyle w:val="3"/>
        <w:numPr>
          <w:ilvl w:val="0"/>
          <w:numId w:val="23"/>
        </w:numPr>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项目实施与管理</w:t>
      </w:r>
    </w:p>
    <w:p w14:paraId="1110D356">
      <w:pPr>
        <w:pStyle w:val="4"/>
        <w:numPr>
          <w:ilvl w:val="0"/>
          <w:numId w:val="48"/>
        </w:numPr>
        <w:ind w:leftChars="0" w:right="22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项目团队</w:t>
      </w:r>
    </w:p>
    <w:p w14:paraId="45D14FDF">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供应商需组建经验丰富的项目团队，至少包括：项目经理、技术架构师、开发工程师、实施测试工程师、运维工程师，并提供明确的职责分工。</w:t>
      </w:r>
    </w:p>
    <w:p w14:paraId="1B7D0EAE">
      <w:pPr>
        <w:pStyle w:val="4"/>
        <w:numPr>
          <w:ilvl w:val="0"/>
          <w:numId w:val="48"/>
        </w:numPr>
        <w:ind w:leftChars="0" w:right="22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交付物</w:t>
      </w:r>
    </w:p>
    <w:p w14:paraId="366FFB24">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供应商需交付完整的系统软件、源代码、技术文档（包括设计文档、API接口文档、测试报告、用户手册、运维手册等）。</w:t>
      </w:r>
    </w:p>
    <w:p w14:paraId="202D7EE7">
      <w:pPr>
        <w:pStyle w:val="3"/>
        <w:numPr>
          <w:ilvl w:val="0"/>
          <w:numId w:val="23"/>
        </w:numPr>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验收标准</w:t>
      </w:r>
    </w:p>
    <w:p w14:paraId="037D61A5">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所有在「性能要求」中约定的指标，应在约定部署规格与典型业务场景下抽样验证通过。</w:t>
      </w:r>
    </w:p>
    <w:p w14:paraId="76E844C8">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验收以典型场景为主（如登录、列表查询、看板查询、主数据同步等），不要求全接口、全场景压测达标。</w:t>
      </w:r>
    </w:p>
    <w:p w14:paraId="4B725FC3">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ERP/MES/OA等外部系统延迟或不可用导致的超时，不计入本系统性能不达标。</w:t>
      </w:r>
    </w:p>
    <w:p w14:paraId="6415F754">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AI、自然语言分析、大规模历史重算等能力，按异步/离线任务能力验收。</w:t>
      </w:r>
    </w:p>
    <w:p w14:paraId="2A5851BD">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验收环境硬件、数据量、并发模型应与合同或部署方案约定一致；低于约定规格时，指标按比例放宽或另行评估。</w:t>
      </w:r>
    </w:p>
    <w:p w14:paraId="067C04E4">
      <w:pPr>
        <w:pStyle w:val="4"/>
        <w:numPr>
          <w:ilvl w:val="0"/>
          <w:numId w:val="49"/>
        </w:numPr>
        <w:ind w:leftChars="0" w:right="22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功能验收</w:t>
      </w:r>
    </w:p>
    <w:p w14:paraId="31B84DD4">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所有在需求规格说明书中定义的功能点必须全部实现并通过测试。</w:t>
      </w:r>
    </w:p>
    <w:p w14:paraId="04AB13CD">
      <w:pPr>
        <w:pStyle w:val="4"/>
        <w:numPr>
          <w:ilvl w:val="0"/>
          <w:numId w:val="49"/>
        </w:numPr>
        <w:ind w:leftChars="0" w:right="22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性能验收</w:t>
      </w:r>
    </w:p>
    <w:p w14:paraId="3BC7328B">
      <w:pPr>
        <w:pStyle w:val="93"/>
        <w:ind w:firstLine="480" w:firstLineChars="200"/>
        <w:jc w:val="both"/>
        <w:rPr>
          <w:rFonts w:hint="eastAsia" w:ascii="宋体" w:hAnsi="宋体" w:eastAsia="宋体" w:cs="宋体"/>
          <w:sz w:val="24"/>
          <w:szCs w:val="24"/>
          <w:highlight w:val="none"/>
          <w:lang w:val="en-US"/>
        </w:rPr>
      </w:pPr>
      <w:r>
        <w:rPr>
          <w:rFonts w:hint="eastAsia" w:ascii="宋体" w:hAnsi="宋体" w:eastAsia="宋体" w:cs="宋体"/>
          <w:sz w:val="24"/>
          <w:szCs w:val="24"/>
          <w:highlight w:val="none"/>
        </w:rPr>
        <w:t>所有在「性能要求」中约定的指标，应在约定部署规格与典型业务场景下抽样验证通过。</w:t>
      </w:r>
    </w:p>
    <w:p w14:paraId="6756BF05">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验收以典型场景为主（如登录、列表查询、看板查询、主数据同步等），不要求全接口、全场景压测达标。</w:t>
      </w:r>
    </w:p>
    <w:p w14:paraId="687072D6">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ERP/MES/OA等外部系统延迟或不可用导致的超时，不计入本系统性能不达标。</w:t>
      </w:r>
    </w:p>
    <w:p w14:paraId="73AE21A4">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AI、自然语言分析、大规模历史重算等能力，按异步/离线任务能力验收。</w:t>
      </w:r>
    </w:p>
    <w:p w14:paraId="071DF254">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验收环境硬件、数据量、并发模型应与合同或部署方案约定一致；低于约定规格时，指标按比例放宽或另行评估。</w:t>
      </w:r>
    </w:p>
    <w:p w14:paraId="59123C6C">
      <w:pPr>
        <w:pStyle w:val="4"/>
        <w:numPr>
          <w:ilvl w:val="0"/>
          <w:numId w:val="49"/>
        </w:numPr>
        <w:ind w:leftChars="0" w:right="22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文档验收</w:t>
      </w:r>
    </w:p>
    <w:p w14:paraId="30D456C8">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交付的所有技术文档必须齐全、内容准确、格式规范。</w:t>
      </w:r>
    </w:p>
    <w:p w14:paraId="298CC7A1">
      <w:pPr>
        <w:pStyle w:val="3"/>
        <w:numPr>
          <w:ilvl w:val="0"/>
          <w:numId w:val="23"/>
        </w:numPr>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培训与售后服务</w:t>
      </w:r>
    </w:p>
    <w:p w14:paraId="6DF2F890">
      <w:pPr>
        <w:pStyle w:val="4"/>
        <w:numPr>
          <w:ilvl w:val="0"/>
          <w:numId w:val="50"/>
        </w:numPr>
        <w:ind w:leftChars="0" w:right="22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培训要求</w:t>
      </w:r>
    </w:p>
    <w:p w14:paraId="2B40EDB0">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供应商需为不同角色（管理员、开发人员、运维人员、业务用户）提供分层、分系统的定制化培训，包括理论讲解与实操演练，并提供全套培训资料。</w:t>
      </w:r>
    </w:p>
    <w:p w14:paraId="48E7B047">
      <w:pPr>
        <w:pStyle w:val="4"/>
        <w:numPr>
          <w:ilvl w:val="0"/>
          <w:numId w:val="50"/>
        </w:numPr>
        <w:ind w:leftChars="0" w:right="22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售后服务</w:t>
      </w:r>
    </w:p>
    <w:p w14:paraId="51F39E2F">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服务等级协议（SLA）：提供5x8小时技术支持，严重故障48小时内响应，72小时内恢复。</w:t>
      </w:r>
    </w:p>
    <w:p w14:paraId="0E70362D">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质保期：系统提供不低于1年的免费质保期。</w:t>
      </w:r>
    </w:p>
    <w:p w14:paraId="228BCE06">
      <w:pPr>
        <w:pStyle w:val="93"/>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服务内容：包括故障处理、系统巡检、版本升级、技术咨询等</w:t>
      </w:r>
    </w:p>
    <w:p w14:paraId="126F4BE7">
      <w:pPr>
        <w:rPr>
          <w:rFonts w:hint="eastAsia"/>
          <w:highlight w:val="none"/>
        </w:rPr>
      </w:pPr>
    </w:p>
    <w:p w14:paraId="72F1E9D1">
      <w:pPr>
        <w:pStyle w:val="17"/>
        <w:rPr>
          <w:rFonts w:hint="eastAsia" w:hAnsi="宋体" w:cs="宋体"/>
          <w:b/>
          <w:sz w:val="52"/>
          <w:szCs w:val="48"/>
          <w:highlight w:val="none"/>
        </w:rPr>
      </w:pPr>
    </w:p>
    <w:p w14:paraId="45A3F93A">
      <w:pPr>
        <w:pStyle w:val="17"/>
        <w:rPr>
          <w:rFonts w:hint="eastAsia" w:hAnsi="宋体" w:cs="宋体"/>
          <w:b/>
          <w:sz w:val="52"/>
          <w:szCs w:val="48"/>
          <w:highlight w:val="none"/>
        </w:rPr>
      </w:pPr>
    </w:p>
    <w:p w14:paraId="3E9CFB1D">
      <w:pPr>
        <w:pStyle w:val="17"/>
        <w:rPr>
          <w:rFonts w:hint="eastAsia" w:hAnsi="宋体" w:cs="宋体"/>
          <w:b/>
          <w:sz w:val="52"/>
          <w:szCs w:val="48"/>
          <w:highlight w:val="none"/>
        </w:rPr>
      </w:pPr>
    </w:p>
    <w:p w14:paraId="275A6798">
      <w:pPr>
        <w:pStyle w:val="17"/>
        <w:rPr>
          <w:rFonts w:hint="eastAsia" w:hAnsi="宋体" w:cs="宋体"/>
          <w:b/>
          <w:sz w:val="52"/>
          <w:szCs w:val="48"/>
          <w:highlight w:val="none"/>
        </w:rPr>
      </w:pPr>
    </w:p>
    <w:p w14:paraId="524506D0">
      <w:pPr>
        <w:pStyle w:val="17"/>
        <w:rPr>
          <w:rFonts w:hint="eastAsia" w:hAnsi="宋体" w:cs="宋体"/>
          <w:b/>
          <w:sz w:val="52"/>
          <w:szCs w:val="48"/>
          <w:highlight w:val="none"/>
        </w:rPr>
      </w:pPr>
    </w:p>
    <w:p w14:paraId="3D23362D">
      <w:pPr>
        <w:pStyle w:val="18"/>
        <w:rPr>
          <w:rFonts w:hint="eastAsia" w:ascii="宋体" w:hAnsi="宋体" w:cs="宋体"/>
          <w:highlight w:val="none"/>
        </w:rPr>
      </w:pPr>
    </w:p>
    <w:p w14:paraId="0AE2234F">
      <w:pPr>
        <w:spacing w:line="560" w:lineRule="exact"/>
        <w:ind w:right="-153" w:rightChars="-73"/>
        <w:jc w:val="center"/>
        <w:rPr>
          <w:rFonts w:hint="eastAsia" w:ascii="宋体" w:hAnsi="宋体" w:cs="宋体"/>
          <w:b/>
          <w:sz w:val="52"/>
          <w:szCs w:val="48"/>
          <w:highlight w:val="none"/>
        </w:rPr>
      </w:pPr>
      <w:bookmarkStart w:id="423" w:name="_Toc23706"/>
    </w:p>
    <w:p w14:paraId="370AD1B1">
      <w:pPr>
        <w:rPr>
          <w:rFonts w:hint="eastAsia" w:ascii="宋体" w:hAnsi="宋体" w:cs="宋体"/>
          <w:b/>
          <w:sz w:val="52"/>
          <w:szCs w:val="48"/>
          <w:highlight w:val="none"/>
        </w:rPr>
      </w:pPr>
      <w:r>
        <w:rPr>
          <w:rFonts w:hint="eastAsia" w:ascii="宋体" w:hAnsi="宋体" w:cs="宋体"/>
          <w:b/>
          <w:sz w:val="52"/>
          <w:szCs w:val="48"/>
          <w:highlight w:val="none"/>
        </w:rPr>
        <w:br w:type="page"/>
      </w:r>
    </w:p>
    <w:p w14:paraId="60C94E60">
      <w:pPr>
        <w:spacing w:line="560" w:lineRule="exact"/>
        <w:ind w:right="-153" w:rightChars="-73"/>
        <w:jc w:val="center"/>
        <w:outlineLvl w:val="0"/>
        <w:rPr>
          <w:rFonts w:hint="eastAsia" w:ascii="宋体" w:hAnsi="宋体" w:cs="宋体"/>
          <w:b/>
          <w:sz w:val="52"/>
          <w:szCs w:val="48"/>
          <w:highlight w:val="none"/>
        </w:rPr>
      </w:pPr>
    </w:p>
    <w:p w14:paraId="01F0EA3A">
      <w:pPr>
        <w:spacing w:line="560" w:lineRule="exact"/>
        <w:ind w:right="-153" w:rightChars="-73"/>
        <w:jc w:val="center"/>
        <w:outlineLvl w:val="0"/>
        <w:rPr>
          <w:rFonts w:hint="eastAsia" w:ascii="宋体" w:hAnsi="宋体" w:cs="宋体"/>
          <w:b/>
          <w:sz w:val="52"/>
          <w:szCs w:val="48"/>
          <w:highlight w:val="none"/>
        </w:rPr>
      </w:pPr>
    </w:p>
    <w:p w14:paraId="61A6BE33">
      <w:pPr>
        <w:spacing w:line="560" w:lineRule="exact"/>
        <w:ind w:right="-153" w:rightChars="-73"/>
        <w:jc w:val="center"/>
        <w:outlineLvl w:val="0"/>
        <w:rPr>
          <w:rFonts w:hint="eastAsia" w:ascii="宋体" w:hAnsi="宋体" w:cs="宋体"/>
          <w:b/>
          <w:sz w:val="52"/>
          <w:szCs w:val="48"/>
          <w:highlight w:val="none"/>
        </w:rPr>
      </w:pPr>
    </w:p>
    <w:p w14:paraId="1C77AE78">
      <w:pPr>
        <w:spacing w:line="560" w:lineRule="exact"/>
        <w:ind w:right="-153" w:rightChars="-73"/>
        <w:jc w:val="center"/>
        <w:outlineLvl w:val="0"/>
        <w:rPr>
          <w:rFonts w:hint="eastAsia" w:ascii="宋体" w:hAnsi="宋体" w:cs="宋体"/>
          <w:b/>
          <w:sz w:val="52"/>
          <w:szCs w:val="48"/>
          <w:highlight w:val="none"/>
        </w:rPr>
      </w:pPr>
    </w:p>
    <w:p w14:paraId="56AFAD2A">
      <w:pPr>
        <w:spacing w:line="560" w:lineRule="exact"/>
        <w:ind w:right="-153" w:rightChars="-73"/>
        <w:jc w:val="center"/>
        <w:outlineLvl w:val="0"/>
        <w:rPr>
          <w:rFonts w:hint="eastAsia" w:ascii="宋体" w:hAnsi="宋体" w:cs="宋体"/>
          <w:b/>
          <w:sz w:val="52"/>
          <w:szCs w:val="48"/>
          <w:highlight w:val="none"/>
        </w:rPr>
      </w:pPr>
    </w:p>
    <w:p w14:paraId="750FA47A">
      <w:pPr>
        <w:spacing w:line="560" w:lineRule="exact"/>
        <w:ind w:right="-153" w:rightChars="-73"/>
        <w:jc w:val="center"/>
        <w:outlineLvl w:val="0"/>
        <w:rPr>
          <w:rFonts w:hint="eastAsia" w:ascii="宋体" w:hAnsi="宋体" w:cs="宋体"/>
          <w:b/>
          <w:sz w:val="52"/>
          <w:szCs w:val="48"/>
          <w:highlight w:val="none"/>
        </w:rPr>
      </w:pPr>
    </w:p>
    <w:p w14:paraId="64EBB69B">
      <w:pPr>
        <w:spacing w:line="560" w:lineRule="exact"/>
        <w:ind w:right="-153" w:rightChars="-73"/>
        <w:jc w:val="center"/>
        <w:outlineLvl w:val="0"/>
        <w:rPr>
          <w:rFonts w:hint="eastAsia" w:ascii="宋体" w:hAnsi="宋体" w:cs="宋体"/>
          <w:b/>
          <w:sz w:val="52"/>
          <w:szCs w:val="48"/>
          <w:highlight w:val="none"/>
        </w:rPr>
      </w:pPr>
    </w:p>
    <w:p w14:paraId="207141B4">
      <w:pPr>
        <w:spacing w:line="560" w:lineRule="exact"/>
        <w:ind w:right="-153" w:rightChars="-73"/>
        <w:jc w:val="center"/>
        <w:outlineLvl w:val="0"/>
        <w:rPr>
          <w:rFonts w:hint="eastAsia" w:ascii="宋体" w:hAnsi="宋体" w:cs="宋体"/>
          <w:b/>
          <w:sz w:val="52"/>
          <w:szCs w:val="48"/>
          <w:highlight w:val="none"/>
        </w:rPr>
        <w:sectPr>
          <w:headerReference r:id="rId14" w:type="default"/>
          <w:footerReference r:id="rId15" w:type="default"/>
          <w:pgSz w:w="11905" w:h="16838"/>
          <w:pgMar w:top="1440" w:right="1803" w:bottom="1440" w:left="1803" w:header="850" w:footer="992" w:gutter="0"/>
          <w:cols w:space="0" w:num="1"/>
          <w:docGrid w:type="lines" w:linePitch="319" w:charSpace="0"/>
        </w:sectPr>
      </w:pPr>
      <w:r>
        <w:rPr>
          <w:rFonts w:hint="eastAsia" w:ascii="宋体" w:hAnsi="宋体" w:cs="宋体"/>
          <w:b/>
          <w:sz w:val="52"/>
          <w:szCs w:val="48"/>
          <w:highlight w:val="none"/>
        </w:rPr>
        <w:t>第六章  响应文件格式</w:t>
      </w:r>
      <w:bookmarkEnd w:id="423"/>
    </w:p>
    <w:p w14:paraId="33F24C1E">
      <w:pPr>
        <w:pStyle w:val="13"/>
        <w:rPr>
          <w:rFonts w:hint="eastAsia" w:ascii="宋体" w:hAnsi="宋体" w:cs="宋体"/>
          <w:b/>
          <w:kern w:val="0"/>
          <w:sz w:val="52"/>
          <w:szCs w:val="52"/>
          <w:highlight w:val="none"/>
        </w:rPr>
      </w:pPr>
    </w:p>
    <w:p w14:paraId="715ED770">
      <w:pPr>
        <w:pStyle w:val="13"/>
        <w:jc w:val="center"/>
        <w:rPr>
          <w:rFonts w:hint="eastAsia" w:ascii="宋体" w:hAnsi="宋体" w:cs="宋体"/>
          <w:b/>
          <w:sz w:val="48"/>
          <w:szCs w:val="48"/>
          <w:highlight w:val="none"/>
        </w:rPr>
      </w:pPr>
      <w:r>
        <w:rPr>
          <w:rFonts w:hint="eastAsia" w:ascii="宋体" w:hAnsi="宋体" w:cs="宋体"/>
          <w:b/>
          <w:sz w:val="48"/>
          <w:szCs w:val="48"/>
          <w:highlight w:val="none"/>
          <w:u w:val="single"/>
        </w:rPr>
        <w:t xml:space="preserve">      </w:t>
      </w:r>
      <w:r>
        <w:rPr>
          <w:rFonts w:hint="eastAsia" w:ascii="宋体" w:hAnsi="宋体" w:cs="宋体"/>
          <w:b/>
          <w:sz w:val="48"/>
          <w:szCs w:val="48"/>
          <w:highlight w:val="none"/>
        </w:rPr>
        <w:t>项目</w:t>
      </w:r>
    </w:p>
    <w:p w14:paraId="5E7BDAE6">
      <w:pPr>
        <w:pStyle w:val="13"/>
        <w:jc w:val="center"/>
        <w:rPr>
          <w:rFonts w:hint="eastAsia" w:ascii="宋体" w:hAnsi="宋体" w:cs="宋体"/>
          <w:b/>
          <w:sz w:val="52"/>
          <w:szCs w:val="52"/>
          <w:highlight w:val="none"/>
        </w:rPr>
      </w:pPr>
    </w:p>
    <w:p w14:paraId="50898318">
      <w:pPr>
        <w:pStyle w:val="13"/>
        <w:rPr>
          <w:rFonts w:hint="eastAsia" w:ascii="宋体" w:hAnsi="宋体" w:cs="宋体"/>
          <w:b/>
          <w:sz w:val="52"/>
          <w:szCs w:val="52"/>
          <w:highlight w:val="none"/>
        </w:rPr>
      </w:pPr>
    </w:p>
    <w:p w14:paraId="46770BE1">
      <w:pPr>
        <w:spacing w:line="360" w:lineRule="auto"/>
        <w:jc w:val="center"/>
        <w:rPr>
          <w:rFonts w:hint="eastAsia" w:ascii="宋体" w:hAnsi="宋体" w:cs="宋体"/>
          <w:highlight w:val="none"/>
        </w:rPr>
      </w:pPr>
    </w:p>
    <w:p w14:paraId="600FA09C">
      <w:pPr>
        <w:spacing w:line="360" w:lineRule="auto"/>
        <w:jc w:val="center"/>
        <w:rPr>
          <w:rFonts w:hint="eastAsia" w:ascii="宋体" w:hAnsi="宋体" w:cs="宋体"/>
          <w:b/>
          <w:sz w:val="72"/>
          <w:szCs w:val="72"/>
          <w:highlight w:val="none"/>
        </w:rPr>
      </w:pPr>
    </w:p>
    <w:p w14:paraId="529173C3">
      <w:pPr>
        <w:spacing w:line="360" w:lineRule="auto"/>
        <w:jc w:val="center"/>
        <w:rPr>
          <w:rFonts w:hint="eastAsia" w:ascii="宋体" w:hAnsi="宋体" w:cs="宋体"/>
          <w:b/>
          <w:sz w:val="72"/>
          <w:szCs w:val="72"/>
          <w:highlight w:val="none"/>
        </w:rPr>
      </w:pPr>
    </w:p>
    <w:p w14:paraId="3112D9AE">
      <w:pPr>
        <w:spacing w:line="360" w:lineRule="auto"/>
        <w:jc w:val="center"/>
        <w:rPr>
          <w:rFonts w:hint="eastAsia" w:ascii="宋体" w:hAnsi="宋体" w:cs="宋体"/>
          <w:b/>
          <w:sz w:val="72"/>
          <w:szCs w:val="72"/>
          <w:highlight w:val="none"/>
        </w:rPr>
      </w:pPr>
      <w:r>
        <w:rPr>
          <w:rFonts w:hint="eastAsia" w:ascii="宋体" w:hAnsi="宋体" w:cs="宋体"/>
          <w:b/>
          <w:sz w:val="72"/>
          <w:szCs w:val="72"/>
          <w:highlight w:val="none"/>
        </w:rPr>
        <w:t>响应文件</w:t>
      </w:r>
    </w:p>
    <w:p w14:paraId="3B35B9E2">
      <w:pPr>
        <w:spacing w:line="360" w:lineRule="auto"/>
        <w:ind w:firstLine="2811" w:firstLineChars="1000"/>
        <w:rPr>
          <w:rFonts w:hint="eastAsia" w:ascii="宋体" w:hAnsi="宋体" w:cs="宋体"/>
          <w:b/>
          <w:sz w:val="28"/>
          <w:szCs w:val="28"/>
          <w:highlight w:val="none"/>
          <w:u w:val="single"/>
        </w:rPr>
      </w:pPr>
      <w:r>
        <w:rPr>
          <w:rFonts w:hint="eastAsia" w:ascii="宋体" w:hAnsi="宋体" w:cs="宋体"/>
          <w:b/>
          <w:sz w:val="28"/>
          <w:szCs w:val="28"/>
          <w:highlight w:val="none"/>
        </w:rPr>
        <w:t>项目编号：</w:t>
      </w:r>
    </w:p>
    <w:p w14:paraId="1728EC7E">
      <w:pPr>
        <w:spacing w:line="360" w:lineRule="auto"/>
        <w:ind w:firstLine="3373" w:firstLineChars="1200"/>
        <w:rPr>
          <w:rFonts w:hint="eastAsia" w:ascii="宋体" w:hAnsi="宋体" w:cs="宋体"/>
          <w:b/>
          <w:bCs/>
          <w:i/>
          <w:iCs/>
          <w:kern w:val="0"/>
          <w:sz w:val="28"/>
          <w:szCs w:val="28"/>
          <w:highlight w:val="none"/>
        </w:rPr>
      </w:pPr>
    </w:p>
    <w:p w14:paraId="18056C00">
      <w:pPr>
        <w:spacing w:line="360" w:lineRule="auto"/>
        <w:jc w:val="center"/>
        <w:rPr>
          <w:rFonts w:hint="eastAsia" w:ascii="宋体" w:hAnsi="宋体" w:cs="宋体"/>
          <w:highlight w:val="none"/>
        </w:rPr>
      </w:pPr>
    </w:p>
    <w:p w14:paraId="230D07C1">
      <w:pPr>
        <w:spacing w:line="360" w:lineRule="auto"/>
        <w:jc w:val="center"/>
        <w:rPr>
          <w:rFonts w:hint="eastAsia" w:ascii="宋体" w:hAnsi="宋体" w:cs="宋体"/>
          <w:highlight w:val="none"/>
        </w:rPr>
      </w:pPr>
    </w:p>
    <w:p w14:paraId="45EF4317">
      <w:pPr>
        <w:spacing w:line="360" w:lineRule="auto"/>
        <w:jc w:val="center"/>
        <w:rPr>
          <w:rFonts w:hint="eastAsia" w:ascii="宋体" w:hAnsi="宋体" w:cs="宋体"/>
          <w:highlight w:val="none"/>
        </w:rPr>
      </w:pPr>
    </w:p>
    <w:p w14:paraId="06EDAA3E">
      <w:pPr>
        <w:spacing w:line="360" w:lineRule="auto"/>
        <w:rPr>
          <w:rFonts w:hint="eastAsia" w:ascii="宋体" w:hAnsi="宋体" w:cs="宋体"/>
          <w:highlight w:val="none"/>
        </w:rPr>
      </w:pPr>
    </w:p>
    <w:p w14:paraId="66A8BAAD">
      <w:pPr>
        <w:spacing w:line="360" w:lineRule="auto"/>
        <w:jc w:val="center"/>
        <w:rPr>
          <w:rFonts w:hint="eastAsia" w:ascii="宋体" w:hAnsi="宋体" w:cs="宋体"/>
          <w:highlight w:val="none"/>
        </w:rPr>
      </w:pPr>
    </w:p>
    <w:p w14:paraId="720E7ADA">
      <w:pPr>
        <w:spacing w:line="360" w:lineRule="auto"/>
        <w:jc w:val="center"/>
        <w:rPr>
          <w:rFonts w:hint="eastAsia" w:ascii="宋体" w:hAnsi="宋体" w:cs="宋体"/>
          <w:highlight w:val="none"/>
        </w:rPr>
      </w:pPr>
    </w:p>
    <w:p w14:paraId="308BEEA3">
      <w:pPr>
        <w:snapToGrid w:val="0"/>
        <w:spacing w:line="360" w:lineRule="auto"/>
        <w:rPr>
          <w:rFonts w:hint="eastAsia" w:ascii="宋体" w:hAnsi="宋体" w:cs="宋体"/>
          <w:b/>
          <w:sz w:val="30"/>
          <w:szCs w:val="30"/>
          <w:highlight w:val="none"/>
        </w:rPr>
      </w:pPr>
      <w:r>
        <w:rPr>
          <w:rFonts w:hint="eastAsia" w:ascii="宋体" w:hAnsi="宋体" w:cs="宋体"/>
          <w:b/>
          <w:sz w:val="30"/>
          <w:szCs w:val="30"/>
          <w:highlight w:val="none"/>
        </w:rPr>
        <w:t>供应商：</w:t>
      </w:r>
      <w:r>
        <w:rPr>
          <w:rFonts w:hint="eastAsia" w:ascii="宋体" w:hAnsi="宋体" w:cs="宋体"/>
          <w:b/>
          <w:sz w:val="30"/>
          <w:szCs w:val="30"/>
          <w:highlight w:val="none"/>
          <w:u w:val="single"/>
        </w:rPr>
        <w:t xml:space="preserve">                       （盖公章）</w:t>
      </w:r>
    </w:p>
    <w:p w14:paraId="034EBD5C">
      <w:pPr>
        <w:snapToGrid w:val="0"/>
        <w:spacing w:line="360" w:lineRule="auto"/>
        <w:rPr>
          <w:rFonts w:hint="eastAsia" w:ascii="宋体" w:hAnsi="宋体" w:cs="宋体"/>
          <w:b/>
          <w:sz w:val="30"/>
          <w:szCs w:val="30"/>
          <w:highlight w:val="none"/>
          <w:u w:val="single"/>
        </w:rPr>
      </w:pPr>
      <w:r>
        <w:rPr>
          <w:rFonts w:hint="eastAsia" w:ascii="宋体" w:hAnsi="宋体" w:cs="宋体"/>
          <w:b/>
          <w:sz w:val="30"/>
          <w:szCs w:val="30"/>
          <w:highlight w:val="none"/>
        </w:rPr>
        <w:t>法定代表人或其授权代表：</w:t>
      </w:r>
      <w:r>
        <w:rPr>
          <w:rFonts w:hint="eastAsia" w:ascii="宋体" w:hAnsi="宋体" w:cs="宋体"/>
          <w:b/>
          <w:sz w:val="30"/>
          <w:szCs w:val="30"/>
          <w:highlight w:val="none"/>
          <w:u w:val="single"/>
        </w:rPr>
        <w:tab/>
      </w:r>
      <w:r>
        <w:rPr>
          <w:rFonts w:hint="eastAsia" w:ascii="宋体" w:hAnsi="宋体" w:cs="宋体"/>
          <w:b/>
          <w:sz w:val="30"/>
          <w:szCs w:val="30"/>
          <w:highlight w:val="none"/>
          <w:u w:val="single"/>
        </w:rPr>
        <w:t xml:space="preserve">    （签字或盖章）</w:t>
      </w:r>
    </w:p>
    <w:p w14:paraId="7EC3133D">
      <w:pPr>
        <w:spacing w:line="360" w:lineRule="auto"/>
        <w:rPr>
          <w:rFonts w:hint="eastAsia" w:ascii="宋体" w:hAnsi="宋体" w:cs="宋体"/>
          <w:sz w:val="30"/>
          <w:szCs w:val="30"/>
          <w:highlight w:val="none"/>
        </w:rPr>
      </w:pPr>
      <w:r>
        <w:rPr>
          <w:rFonts w:hint="eastAsia" w:ascii="宋体" w:hAnsi="宋体" w:cs="宋体"/>
          <w:b/>
          <w:sz w:val="30"/>
          <w:szCs w:val="30"/>
          <w:highlight w:val="none"/>
        </w:rPr>
        <w:t>日  期：   年    月   日</w:t>
      </w:r>
    </w:p>
    <w:p w14:paraId="1CC5FA6F">
      <w:pPr>
        <w:widowControl/>
        <w:spacing w:line="360" w:lineRule="auto"/>
        <w:ind w:left="420" w:leftChars="200"/>
        <w:jc w:val="left"/>
        <w:rPr>
          <w:rFonts w:hint="eastAsia" w:ascii="宋体" w:hAnsi="宋体" w:cs="宋体"/>
          <w:sz w:val="28"/>
          <w:szCs w:val="28"/>
          <w:highlight w:val="none"/>
        </w:rPr>
        <w:sectPr>
          <w:pgSz w:w="11905" w:h="16838"/>
          <w:pgMar w:top="1440" w:right="1803" w:bottom="1440" w:left="1803" w:header="850" w:footer="992" w:gutter="0"/>
          <w:cols w:space="0" w:num="1"/>
          <w:docGrid w:type="lines" w:linePitch="319" w:charSpace="0"/>
        </w:sectPr>
      </w:pPr>
    </w:p>
    <w:p w14:paraId="722534AF">
      <w:pPr>
        <w:spacing w:line="360" w:lineRule="auto"/>
        <w:jc w:val="center"/>
        <w:rPr>
          <w:rFonts w:hint="eastAsia" w:ascii="宋体" w:hAnsi="宋体" w:cs="宋体"/>
          <w:b/>
          <w:spacing w:val="8"/>
          <w:sz w:val="32"/>
          <w:szCs w:val="32"/>
          <w:highlight w:val="none"/>
        </w:rPr>
      </w:pPr>
      <w:r>
        <w:rPr>
          <w:rFonts w:hint="eastAsia" w:ascii="宋体" w:hAnsi="宋体" w:cs="宋体"/>
          <w:b/>
          <w:spacing w:val="8"/>
          <w:sz w:val="32"/>
          <w:szCs w:val="32"/>
          <w:highlight w:val="none"/>
        </w:rPr>
        <w:t>目    录</w:t>
      </w:r>
    </w:p>
    <w:p w14:paraId="18631EE7">
      <w:pPr>
        <w:spacing w:line="360" w:lineRule="auto"/>
        <w:ind w:firstLine="630"/>
        <w:rPr>
          <w:rFonts w:hint="eastAsia" w:ascii="宋体" w:hAnsi="宋体" w:cs="宋体"/>
          <w:b/>
          <w:spacing w:val="8"/>
          <w:sz w:val="24"/>
          <w:szCs w:val="24"/>
          <w:highlight w:val="none"/>
        </w:rPr>
      </w:pPr>
    </w:p>
    <w:p w14:paraId="2DA54B2D">
      <w:pPr>
        <w:widowControl/>
        <w:numPr>
          <w:ilvl w:val="0"/>
          <w:numId w:val="51"/>
        </w:numPr>
        <w:spacing w:line="480" w:lineRule="auto"/>
        <w:jc w:val="left"/>
        <w:rPr>
          <w:rFonts w:hint="eastAsia" w:ascii="宋体" w:hAnsi="宋体" w:cs="宋体"/>
          <w:b/>
          <w:sz w:val="24"/>
          <w:szCs w:val="24"/>
          <w:highlight w:val="none"/>
        </w:rPr>
      </w:pPr>
      <w:r>
        <w:rPr>
          <w:rFonts w:hint="eastAsia" w:ascii="宋体" w:hAnsi="宋体" w:cs="宋体"/>
          <w:b/>
          <w:sz w:val="24"/>
          <w:szCs w:val="24"/>
          <w:highlight w:val="none"/>
        </w:rPr>
        <w:t>响应函及响应函附录</w:t>
      </w:r>
    </w:p>
    <w:p w14:paraId="3941CD39">
      <w:pPr>
        <w:widowControl/>
        <w:numPr>
          <w:ilvl w:val="0"/>
          <w:numId w:val="51"/>
        </w:numPr>
        <w:spacing w:line="480" w:lineRule="auto"/>
        <w:jc w:val="left"/>
        <w:rPr>
          <w:rFonts w:hint="eastAsia" w:ascii="宋体" w:hAnsi="宋体" w:cs="宋体"/>
          <w:b/>
          <w:sz w:val="24"/>
          <w:szCs w:val="24"/>
          <w:highlight w:val="none"/>
        </w:rPr>
      </w:pPr>
      <w:r>
        <w:rPr>
          <w:rFonts w:hint="eastAsia" w:ascii="宋体" w:hAnsi="宋体" w:cs="宋体"/>
          <w:b/>
          <w:sz w:val="24"/>
          <w:szCs w:val="24"/>
          <w:highlight w:val="none"/>
        </w:rPr>
        <w:t>法定代表人身份证明书</w:t>
      </w:r>
    </w:p>
    <w:p w14:paraId="2C6ACF50">
      <w:pPr>
        <w:widowControl/>
        <w:numPr>
          <w:ilvl w:val="0"/>
          <w:numId w:val="51"/>
        </w:numPr>
        <w:spacing w:line="480" w:lineRule="auto"/>
        <w:jc w:val="left"/>
        <w:rPr>
          <w:rFonts w:hint="eastAsia" w:ascii="宋体" w:hAnsi="宋体" w:cs="宋体"/>
          <w:b/>
          <w:sz w:val="24"/>
          <w:szCs w:val="24"/>
          <w:highlight w:val="none"/>
        </w:rPr>
      </w:pPr>
      <w:r>
        <w:rPr>
          <w:rFonts w:hint="eastAsia" w:ascii="宋体" w:hAnsi="宋体" w:cs="宋体"/>
          <w:b/>
          <w:sz w:val="24"/>
          <w:szCs w:val="24"/>
          <w:highlight w:val="none"/>
        </w:rPr>
        <w:t>法定代表人授权委托书</w:t>
      </w:r>
    </w:p>
    <w:p w14:paraId="189FEE1B">
      <w:pPr>
        <w:widowControl/>
        <w:numPr>
          <w:ilvl w:val="0"/>
          <w:numId w:val="51"/>
        </w:numPr>
        <w:spacing w:line="480" w:lineRule="auto"/>
        <w:jc w:val="left"/>
        <w:rPr>
          <w:rFonts w:hint="eastAsia" w:ascii="宋体" w:hAnsi="宋体" w:cs="宋体"/>
          <w:b/>
          <w:sz w:val="24"/>
          <w:szCs w:val="24"/>
          <w:highlight w:val="none"/>
        </w:rPr>
      </w:pPr>
      <w:r>
        <w:rPr>
          <w:rFonts w:hint="eastAsia" w:ascii="宋体" w:hAnsi="宋体" w:cs="宋体"/>
          <w:b/>
          <w:sz w:val="24"/>
          <w:szCs w:val="24"/>
          <w:highlight w:val="none"/>
        </w:rPr>
        <w:t>资格审查资料</w:t>
      </w:r>
    </w:p>
    <w:p w14:paraId="4A7E4492">
      <w:pPr>
        <w:widowControl/>
        <w:numPr>
          <w:ilvl w:val="0"/>
          <w:numId w:val="51"/>
        </w:numPr>
        <w:spacing w:line="480" w:lineRule="auto"/>
        <w:jc w:val="left"/>
        <w:rPr>
          <w:rFonts w:hint="eastAsia" w:ascii="宋体" w:hAnsi="宋体" w:cs="宋体"/>
          <w:b/>
          <w:sz w:val="24"/>
          <w:szCs w:val="24"/>
          <w:highlight w:val="none"/>
        </w:rPr>
      </w:pPr>
      <w:bookmarkStart w:id="424" w:name="OLE_LINK12"/>
      <w:r>
        <w:rPr>
          <w:rFonts w:hint="eastAsia" w:ascii="宋体" w:hAnsi="宋体" w:cs="宋体"/>
          <w:b/>
          <w:sz w:val="24"/>
          <w:szCs w:val="24"/>
          <w:highlight w:val="none"/>
        </w:rPr>
        <w:t>商务响应文件</w:t>
      </w:r>
    </w:p>
    <w:bookmarkEnd w:id="424"/>
    <w:p w14:paraId="691968CF">
      <w:pPr>
        <w:widowControl/>
        <w:numPr>
          <w:ilvl w:val="0"/>
          <w:numId w:val="51"/>
        </w:numPr>
        <w:spacing w:line="480" w:lineRule="auto"/>
        <w:jc w:val="left"/>
        <w:rPr>
          <w:rFonts w:hint="eastAsia" w:ascii="宋体" w:hAnsi="宋体" w:cs="宋体"/>
          <w:b/>
          <w:sz w:val="24"/>
          <w:szCs w:val="24"/>
          <w:highlight w:val="none"/>
        </w:rPr>
      </w:pPr>
      <w:r>
        <w:rPr>
          <w:rFonts w:hint="eastAsia" w:ascii="宋体" w:hAnsi="宋体" w:cs="宋体"/>
          <w:b/>
          <w:sz w:val="24"/>
          <w:szCs w:val="24"/>
          <w:highlight w:val="none"/>
        </w:rPr>
        <w:t>技术响应文件</w:t>
      </w:r>
    </w:p>
    <w:p w14:paraId="0ED6A9E4">
      <w:pPr>
        <w:widowControl/>
        <w:numPr>
          <w:ilvl w:val="0"/>
          <w:numId w:val="51"/>
        </w:numPr>
        <w:spacing w:line="480" w:lineRule="auto"/>
        <w:jc w:val="left"/>
        <w:rPr>
          <w:rFonts w:hint="eastAsia" w:ascii="宋体" w:hAnsi="宋体" w:cs="宋体"/>
          <w:b/>
          <w:spacing w:val="8"/>
          <w:sz w:val="24"/>
          <w:szCs w:val="24"/>
          <w:highlight w:val="none"/>
        </w:rPr>
      </w:pPr>
      <w:r>
        <w:rPr>
          <w:rFonts w:hint="eastAsia" w:ascii="宋体" w:hAnsi="宋体" w:cs="宋体"/>
          <w:b/>
          <w:sz w:val="24"/>
          <w:szCs w:val="24"/>
          <w:highlight w:val="none"/>
        </w:rPr>
        <w:t>其他</w:t>
      </w:r>
    </w:p>
    <w:p w14:paraId="5C403764">
      <w:pPr>
        <w:pStyle w:val="17"/>
        <w:rPr>
          <w:rFonts w:hint="eastAsia" w:hAnsi="宋体" w:cs="宋体"/>
          <w:b/>
          <w:spacing w:val="8"/>
          <w:sz w:val="24"/>
          <w:szCs w:val="24"/>
          <w:highlight w:val="none"/>
        </w:rPr>
      </w:pPr>
    </w:p>
    <w:p w14:paraId="2699CD93">
      <w:pPr>
        <w:pStyle w:val="18"/>
        <w:rPr>
          <w:rFonts w:hint="eastAsia" w:ascii="宋体" w:hAnsi="宋体" w:cs="宋体"/>
          <w:b/>
          <w:spacing w:val="8"/>
          <w:highlight w:val="none"/>
        </w:rPr>
      </w:pPr>
    </w:p>
    <w:p w14:paraId="7570367F">
      <w:pPr>
        <w:rPr>
          <w:rFonts w:hint="eastAsia" w:ascii="宋体" w:hAnsi="宋体" w:cs="宋体"/>
          <w:b/>
          <w:spacing w:val="8"/>
          <w:szCs w:val="21"/>
          <w:highlight w:val="none"/>
        </w:rPr>
      </w:pPr>
    </w:p>
    <w:p w14:paraId="6CE7ABE2">
      <w:pPr>
        <w:pStyle w:val="17"/>
        <w:rPr>
          <w:rFonts w:hint="eastAsia" w:hAnsi="宋体" w:cs="宋体"/>
          <w:b/>
          <w:spacing w:val="8"/>
          <w:szCs w:val="21"/>
          <w:highlight w:val="none"/>
        </w:rPr>
      </w:pPr>
    </w:p>
    <w:p w14:paraId="0EB9DFC9">
      <w:pPr>
        <w:pStyle w:val="18"/>
        <w:rPr>
          <w:rFonts w:hint="eastAsia" w:ascii="宋体" w:hAnsi="宋体" w:cs="宋体"/>
          <w:b/>
          <w:spacing w:val="8"/>
          <w:highlight w:val="none"/>
        </w:rPr>
      </w:pPr>
    </w:p>
    <w:p w14:paraId="0BCADE0A">
      <w:pPr>
        <w:rPr>
          <w:rFonts w:hint="eastAsia" w:ascii="宋体" w:hAnsi="宋体" w:cs="宋体"/>
          <w:b/>
          <w:spacing w:val="8"/>
          <w:szCs w:val="21"/>
          <w:highlight w:val="none"/>
        </w:rPr>
      </w:pPr>
    </w:p>
    <w:p w14:paraId="00B4EC12">
      <w:pPr>
        <w:pStyle w:val="17"/>
        <w:rPr>
          <w:rFonts w:hint="eastAsia" w:hAnsi="宋体" w:cs="宋体"/>
          <w:b/>
          <w:spacing w:val="8"/>
          <w:szCs w:val="21"/>
          <w:highlight w:val="none"/>
        </w:rPr>
      </w:pPr>
    </w:p>
    <w:p w14:paraId="37D11820">
      <w:pPr>
        <w:pStyle w:val="18"/>
        <w:rPr>
          <w:rFonts w:hint="eastAsia" w:ascii="宋体" w:hAnsi="宋体" w:cs="宋体"/>
          <w:b/>
          <w:spacing w:val="8"/>
          <w:highlight w:val="none"/>
        </w:rPr>
      </w:pPr>
    </w:p>
    <w:p w14:paraId="6B975632">
      <w:pPr>
        <w:rPr>
          <w:rFonts w:hint="eastAsia" w:ascii="宋体" w:hAnsi="宋体" w:cs="宋体"/>
          <w:b/>
          <w:spacing w:val="8"/>
          <w:szCs w:val="21"/>
          <w:highlight w:val="none"/>
        </w:rPr>
      </w:pPr>
    </w:p>
    <w:p w14:paraId="27D2A7EA">
      <w:pPr>
        <w:pStyle w:val="17"/>
        <w:rPr>
          <w:rFonts w:hint="eastAsia" w:hAnsi="宋体" w:cs="宋体"/>
          <w:b/>
          <w:spacing w:val="8"/>
          <w:szCs w:val="21"/>
          <w:highlight w:val="none"/>
        </w:rPr>
      </w:pPr>
    </w:p>
    <w:p w14:paraId="57807746">
      <w:pPr>
        <w:pStyle w:val="18"/>
        <w:rPr>
          <w:rFonts w:hint="eastAsia" w:ascii="宋体" w:hAnsi="宋体" w:cs="宋体"/>
          <w:b/>
          <w:spacing w:val="8"/>
          <w:highlight w:val="none"/>
        </w:rPr>
      </w:pPr>
    </w:p>
    <w:p w14:paraId="766CAC44">
      <w:pPr>
        <w:rPr>
          <w:rFonts w:hint="eastAsia" w:ascii="宋体" w:hAnsi="宋体" w:cs="宋体"/>
          <w:b/>
          <w:spacing w:val="8"/>
          <w:szCs w:val="21"/>
          <w:highlight w:val="none"/>
        </w:rPr>
      </w:pPr>
    </w:p>
    <w:p w14:paraId="4219A5DD">
      <w:pPr>
        <w:pStyle w:val="17"/>
        <w:rPr>
          <w:rFonts w:hint="eastAsia" w:hAnsi="宋体" w:cs="宋体"/>
          <w:highlight w:val="none"/>
        </w:rPr>
      </w:pPr>
    </w:p>
    <w:p w14:paraId="6CFCDE2F">
      <w:pPr>
        <w:rPr>
          <w:rFonts w:hint="eastAsia" w:ascii="宋体" w:hAnsi="宋体" w:cs="宋体"/>
          <w:highlight w:val="none"/>
        </w:rPr>
      </w:pPr>
      <w:r>
        <w:rPr>
          <w:rFonts w:hint="eastAsia" w:ascii="宋体" w:hAnsi="宋体" w:cs="宋体"/>
          <w:highlight w:val="none"/>
        </w:rPr>
        <w:br w:type="page"/>
      </w:r>
    </w:p>
    <w:p w14:paraId="3BE4952E">
      <w:pPr>
        <w:widowControl/>
        <w:spacing w:line="480" w:lineRule="auto"/>
        <w:jc w:val="left"/>
        <w:rPr>
          <w:rFonts w:hint="eastAsia" w:ascii="宋体" w:hAnsi="宋体" w:cs="宋体"/>
          <w:b/>
          <w:sz w:val="24"/>
          <w:szCs w:val="24"/>
          <w:highlight w:val="none"/>
        </w:rPr>
      </w:pPr>
      <w:r>
        <w:rPr>
          <w:rFonts w:hint="eastAsia" w:ascii="宋体" w:hAnsi="宋体" w:cs="宋体"/>
          <w:b/>
          <w:sz w:val="24"/>
          <w:szCs w:val="24"/>
          <w:highlight w:val="none"/>
        </w:rPr>
        <w:t>一、响应函及响应函附录</w:t>
      </w:r>
    </w:p>
    <w:p w14:paraId="4B3BD2F6">
      <w:pPr>
        <w:spacing w:line="360" w:lineRule="auto"/>
        <w:jc w:val="center"/>
        <w:rPr>
          <w:rFonts w:hint="eastAsia" w:ascii="宋体" w:hAnsi="宋体" w:cs="宋体"/>
          <w:b/>
          <w:spacing w:val="8"/>
          <w:szCs w:val="21"/>
          <w:highlight w:val="none"/>
        </w:rPr>
      </w:pPr>
    </w:p>
    <w:p w14:paraId="51190B9F">
      <w:pPr>
        <w:spacing w:line="360" w:lineRule="auto"/>
        <w:jc w:val="center"/>
        <w:rPr>
          <w:rFonts w:hint="eastAsia" w:ascii="宋体" w:hAnsi="宋体" w:cs="宋体"/>
          <w:b/>
          <w:spacing w:val="8"/>
          <w:szCs w:val="21"/>
          <w:highlight w:val="none"/>
        </w:rPr>
      </w:pPr>
      <w:r>
        <w:rPr>
          <w:rFonts w:hint="eastAsia" w:ascii="宋体" w:hAnsi="宋体" w:cs="宋体"/>
          <w:b/>
          <w:spacing w:val="8"/>
          <w:szCs w:val="21"/>
          <w:highlight w:val="none"/>
        </w:rPr>
        <w:t>（一）响应函</w:t>
      </w:r>
    </w:p>
    <w:p w14:paraId="48DFADF3">
      <w:pPr>
        <w:spacing w:line="460" w:lineRule="exact"/>
        <w:jc w:val="left"/>
        <w:rPr>
          <w:rFonts w:hint="eastAsia" w:ascii="宋体" w:hAnsi="宋体" w:cs="宋体"/>
          <w:szCs w:val="21"/>
          <w:highlight w:val="none"/>
          <w:u w:val="single"/>
        </w:rPr>
      </w:pPr>
      <w:r>
        <w:rPr>
          <w:rFonts w:hint="eastAsia" w:ascii="宋体" w:hAnsi="宋体" w:cs="宋体"/>
          <w:szCs w:val="21"/>
          <w:highlight w:val="none"/>
        </w:rPr>
        <w:t>致：</w:t>
      </w:r>
      <w:r>
        <w:rPr>
          <w:rFonts w:hint="eastAsia" w:ascii="宋体" w:hAnsi="宋体" w:cs="宋体"/>
          <w:szCs w:val="21"/>
          <w:highlight w:val="none"/>
          <w:u w:val="single"/>
        </w:rPr>
        <w:t>（采购单位名称）</w:t>
      </w:r>
    </w:p>
    <w:p w14:paraId="48211F4A">
      <w:pPr>
        <w:spacing w:line="560" w:lineRule="exact"/>
        <w:ind w:firstLine="560"/>
        <w:rPr>
          <w:rFonts w:hint="eastAsia" w:ascii="宋体" w:hAnsi="宋体" w:cs="宋体"/>
          <w:kern w:val="0"/>
          <w:szCs w:val="21"/>
          <w:highlight w:val="none"/>
        </w:rPr>
      </w:pPr>
      <w:r>
        <w:rPr>
          <w:rFonts w:hint="eastAsia" w:ascii="宋体" w:hAnsi="宋体" w:cs="宋体"/>
          <w:szCs w:val="21"/>
          <w:highlight w:val="none"/>
        </w:rPr>
        <w:t>1、根据已收到的项目编号为</w:t>
      </w:r>
      <w:r>
        <w:rPr>
          <w:rFonts w:hint="eastAsia" w:ascii="宋体" w:hAnsi="宋体" w:cs="宋体"/>
          <w:szCs w:val="21"/>
          <w:highlight w:val="none"/>
          <w:u w:val="single"/>
        </w:rPr>
        <w:t xml:space="preserve">  （项目编号） </w:t>
      </w:r>
      <w:r>
        <w:rPr>
          <w:rFonts w:hint="eastAsia" w:ascii="宋体" w:hAnsi="宋体" w:cs="宋体"/>
          <w:szCs w:val="21"/>
          <w:highlight w:val="none"/>
        </w:rPr>
        <w:t>的</w:t>
      </w:r>
      <w:r>
        <w:rPr>
          <w:rFonts w:hint="eastAsia" w:ascii="宋体" w:hAnsi="宋体" w:cs="宋体"/>
          <w:szCs w:val="21"/>
          <w:highlight w:val="none"/>
          <w:u w:val="single"/>
        </w:rPr>
        <w:t xml:space="preserve"> （项目名称）</w:t>
      </w:r>
      <w:r>
        <w:rPr>
          <w:rFonts w:hint="eastAsia" w:ascii="宋体" w:hAnsi="宋体" w:cs="宋体"/>
          <w:szCs w:val="21"/>
          <w:highlight w:val="none"/>
        </w:rPr>
        <w:t>的采购文件，遵守相关法律和有关文件的规定，我方承诺接受采购文件及澄清修改部分（如有）的全部条款（包括响应文件递交截止时间、资格条件、评审成交标准以及采购需求等其他所有条款）且无任何异议，我公司愿以</w:t>
      </w:r>
      <w:r>
        <w:rPr>
          <w:rFonts w:hint="eastAsia" w:ascii="宋体" w:hAnsi="宋体" w:cs="宋体"/>
          <w:kern w:val="0"/>
          <w:szCs w:val="21"/>
          <w:highlight w:val="none"/>
        </w:rPr>
        <w:t>人民币:大写：</w:t>
      </w:r>
      <w:r>
        <w:rPr>
          <w:rFonts w:hint="eastAsia" w:ascii="宋体" w:hAnsi="宋体" w:cs="宋体"/>
          <w:szCs w:val="21"/>
          <w:highlight w:val="none"/>
          <w:u w:val="single"/>
        </w:rPr>
        <w:t xml:space="preserve">         </w:t>
      </w:r>
      <w:r>
        <w:rPr>
          <w:rFonts w:hint="eastAsia" w:ascii="宋体" w:hAnsi="宋体" w:cs="宋体"/>
          <w:szCs w:val="21"/>
          <w:highlight w:val="none"/>
        </w:rPr>
        <w:t>（￥小写：</w:t>
      </w:r>
      <w:r>
        <w:rPr>
          <w:rFonts w:hint="eastAsia" w:ascii="宋体" w:hAnsi="宋体" w:cs="宋体"/>
          <w:szCs w:val="21"/>
          <w:highlight w:val="none"/>
          <w:u w:val="single"/>
        </w:rPr>
        <w:t xml:space="preserve">    </w:t>
      </w:r>
      <w:r>
        <w:rPr>
          <w:rFonts w:hint="eastAsia" w:ascii="宋体" w:hAnsi="宋体" w:cs="宋体"/>
          <w:szCs w:val="21"/>
          <w:highlight w:val="none"/>
        </w:rPr>
        <w:t>元）的报价</w:t>
      </w:r>
      <w:r>
        <w:rPr>
          <w:rFonts w:hint="eastAsia" w:ascii="宋体" w:hAnsi="宋体" w:cs="宋体"/>
          <w:szCs w:val="21"/>
          <w:highlight w:val="none"/>
          <w:lang w:val="en-US" w:eastAsia="zh-CN"/>
        </w:rPr>
        <w:t>(含税）</w:t>
      </w:r>
      <w:r>
        <w:rPr>
          <w:rFonts w:hint="eastAsia" w:ascii="宋体" w:hAnsi="宋体" w:cs="宋体"/>
          <w:szCs w:val="21"/>
          <w:highlight w:val="none"/>
        </w:rPr>
        <w:t>参加该项目的询比，并按上述文件中的条款承包该项目。</w:t>
      </w:r>
    </w:p>
    <w:p w14:paraId="39BA35D2">
      <w:pPr>
        <w:spacing w:line="560" w:lineRule="exact"/>
        <w:ind w:firstLine="420" w:firstLineChars="200"/>
        <w:rPr>
          <w:rFonts w:hint="eastAsia" w:ascii="宋体" w:hAnsi="宋体" w:cs="宋体"/>
          <w:szCs w:val="21"/>
          <w:highlight w:val="none"/>
        </w:rPr>
      </w:pPr>
      <w:r>
        <w:rPr>
          <w:rFonts w:hint="eastAsia" w:ascii="宋体" w:hAnsi="宋体" w:cs="宋体"/>
          <w:szCs w:val="21"/>
          <w:highlight w:val="none"/>
        </w:rPr>
        <w:t>2、我公司完全响应采购文件中提出的所有实质性要求。</w:t>
      </w:r>
    </w:p>
    <w:p w14:paraId="37AF8E42">
      <w:pPr>
        <w:spacing w:line="560" w:lineRule="exact"/>
        <w:ind w:firstLine="420" w:firstLineChars="200"/>
        <w:rPr>
          <w:rFonts w:hint="eastAsia" w:ascii="宋体" w:hAnsi="宋体" w:cs="宋体"/>
          <w:szCs w:val="21"/>
          <w:highlight w:val="none"/>
        </w:rPr>
      </w:pPr>
      <w:r>
        <w:rPr>
          <w:rFonts w:hint="eastAsia" w:ascii="宋体" w:hAnsi="宋体" w:cs="宋体"/>
          <w:szCs w:val="21"/>
          <w:highlight w:val="none"/>
        </w:rPr>
        <w:t>3、我公司同意在采购文件规定的投标期限内，本响应文件始终对我公司具有约束力，且随时可以按此文件成交。</w:t>
      </w:r>
    </w:p>
    <w:p w14:paraId="64F15310">
      <w:pPr>
        <w:spacing w:line="560" w:lineRule="exact"/>
        <w:ind w:firstLine="420" w:firstLineChars="200"/>
        <w:rPr>
          <w:rFonts w:hint="eastAsia" w:ascii="宋体" w:hAnsi="宋体" w:cs="宋体"/>
          <w:szCs w:val="21"/>
          <w:highlight w:val="none"/>
        </w:rPr>
      </w:pPr>
      <w:r>
        <w:rPr>
          <w:rFonts w:hint="eastAsia" w:ascii="宋体" w:hAnsi="宋体" w:cs="宋体"/>
          <w:szCs w:val="21"/>
          <w:highlight w:val="none"/>
        </w:rPr>
        <w:t>4、一旦我公司成交，我公司保证在成交后的规定期限内签订项目服务合同，服务期为：</w:t>
      </w:r>
      <w:r>
        <w:rPr>
          <w:rFonts w:hint="eastAsia" w:ascii="宋体" w:hAnsi="宋体" w:cs="宋体"/>
          <w:szCs w:val="21"/>
          <w:highlight w:val="none"/>
          <w:u w:val="single"/>
        </w:rPr>
        <w:t xml:space="preserve">           </w:t>
      </w:r>
      <w:r>
        <w:rPr>
          <w:rFonts w:hint="eastAsia" w:ascii="宋体" w:hAnsi="宋体" w:cs="宋体"/>
          <w:szCs w:val="21"/>
          <w:highlight w:val="none"/>
        </w:rPr>
        <w:t xml:space="preserve">。 </w:t>
      </w:r>
    </w:p>
    <w:p w14:paraId="190C8BE5">
      <w:pPr>
        <w:spacing w:line="560" w:lineRule="exact"/>
        <w:ind w:firstLine="420" w:firstLineChars="200"/>
        <w:rPr>
          <w:rFonts w:hint="eastAsia" w:ascii="宋体" w:hAnsi="宋体" w:cs="宋体"/>
          <w:szCs w:val="21"/>
          <w:highlight w:val="none"/>
        </w:rPr>
      </w:pPr>
      <w:r>
        <w:rPr>
          <w:rFonts w:hint="eastAsia" w:ascii="宋体" w:hAnsi="宋体" w:cs="宋体"/>
          <w:szCs w:val="21"/>
          <w:highlight w:val="none"/>
        </w:rPr>
        <w:t>5、我们承诺最低报价是成交的重要选择，但不是唯一选择。</w:t>
      </w:r>
    </w:p>
    <w:p w14:paraId="115F8611">
      <w:pPr>
        <w:spacing w:line="560" w:lineRule="exact"/>
        <w:ind w:firstLine="420" w:firstLineChars="200"/>
        <w:rPr>
          <w:rFonts w:hint="eastAsia" w:ascii="宋体" w:hAnsi="宋体" w:cs="宋体"/>
          <w:szCs w:val="21"/>
          <w:highlight w:val="none"/>
        </w:rPr>
      </w:pPr>
      <w:r>
        <w:rPr>
          <w:rFonts w:hint="eastAsia" w:ascii="宋体" w:hAnsi="宋体" w:cs="宋体"/>
          <w:szCs w:val="21"/>
          <w:highlight w:val="none"/>
        </w:rPr>
        <w:t>6、除非与贵方另外达成协议并生效，贵方的成交通知书、本响应文件将与双方签订的合同具有同等的约束力。</w:t>
      </w:r>
    </w:p>
    <w:p w14:paraId="18A704A8">
      <w:pPr>
        <w:spacing w:line="360" w:lineRule="auto"/>
        <w:ind w:firstLine="2480"/>
        <w:jc w:val="right"/>
        <w:rPr>
          <w:rFonts w:hint="eastAsia" w:ascii="宋体" w:hAnsi="宋体" w:cs="宋体"/>
          <w:spacing w:val="8"/>
          <w:szCs w:val="21"/>
          <w:highlight w:val="none"/>
        </w:rPr>
      </w:pPr>
    </w:p>
    <w:p w14:paraId="5A6A69A3">
      <w:pPr>
        <w:spacing w:line="360" w:lineRule="auto"/>
        <w:ind w:firstLine="2480"/>
        <w:jc w:val="right"/>
        <w:rPr>
          <w:rFonts w:hint="eastAsia" w:ascii="宋体" w:hAnsi="宋体" w:cs="宋体"/>
          <w:spacing w:val="8"/>
          <w:szCs w:val="21"/>
          <w:highlight w:val="none"/>
        </w:rPr>
      </w:pPr>
      <w:r>
        <w:rPr>
          <w:rFonts w:hint="eastAsia" w:ascii="宋体" w:hAnsi="宋体" w:cs="宋体"/>
          <w:spacing w:val="8"/>
          <w:szCs w:val="21"/>
          <w:highlight w:val="none"/>
        </w:rPr>
        <w:t>供应商：</w:t>
      </w:r>
      <w:r>
        <w:rPr>
          <w:rFonts w:hint="eastAsia" w:ascii="宋体" w:hAnsi="宋体" w:cs="宋体"/>
          <w:spacing w:val="8"/>
          <w:szCs w:val="21"/>
          <w:highlight w:val="none"/>
          <w:u w:val="single"/>
        </w:rPr>
        <w:t xml:space="preserve">                              （盖章）</w:t>
      </w:r>
    </w:p>
    <w:p w14:paraId="3F636C6E">
      <w:pPr>
        <w:spacing w:line="360" w:lineRule="auto"/>
        <w:ind w:firstLine="1695" w:firstLineChars="750"/>
        <w:jc w:val="right"/>
        <w:rPr>
          <w:rFonts w:hint="eastAsia" w:ascii="宋体" w:hAnsi="宋体" w:cs="宋体"/>
          <w:spacing w:val="8"/>
          <w:szCs w:val="21"/>
          <w:highlight w:val="none"/>
        </w:rPr>
      </w:pPr>
      <w:r>
        <w:rPr>
          <w:rFonts w:hint="eastAsia" w:ascii="宋体" w:hAnsi="宋体" w:cs="宋体"/>
          <w:spacing w:val="8"/>
          <w:szCs w:val="21"/>
          <w:highlight w:val="none"/>
        </w:rPr>
        <w:t>法定代表人或其委托代理人：</w:t>
      </w:r>
      <w:r>
        <w:rPr>
          <w:rFonts w:hint="eastAsia" w:ascii="宋体" w:hAnsi="宋体" w:cs="宋体"/>
          <w:spacing w:val="8"/>
          <w:szCs w:val="21"/>
          <w:highlight w:val="none"/>
          <w:u w:val="single"/>
        </w:rPr>
        <w:t xml:space="preserve">          （签字或盖章）</w:t>
      </w:r>
    </w:p>
    <w:p w14:paraId="6443861C">
      <w:pPr>
        <w:spacing w:line="360" w:lineRule="auto"/>
        <w:jc w:val="center"/>
        <w:rPr>
          <w:rFonts w:hint="eastAsia" w:ascii="宋体" w:hAnsi="宋体" w:cs="宋体"/>
          <w:spacing w:val="8"/>
          <w:szCs w:val="21"/>
          <w:highlight w:val="none"/>
        </w:rPr>
      </w:pPr>
      <w:r>
        <w:rPr>
          <w:rFonts w:hint="eastAsia" w:ascii="宋体" w:hAnsi="宋体" w:cs="宋体"/>
          <w:spacing w:val="8"/>
          <w:szCs w:val="21"/>
          <w:highlight w:val="none"/>
        </w:rPr>
        <w:t xml:space="preserve">                   日  期：</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年</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月</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日</w:t>
      </w:r>
    </w:p>
    <w:p w14:paraId="0D7CCB53">
      <w:pPr>
        <w:pStyle w:val="13"/>
        <w:tabs>
          <w:tab w:val="left" w:pos="631"/>
          <w:tab w:val="left" w:pos="1471"/>
          <w:tab w:val="left" w:pos="2311"/>
        </w:tabs>
        <w:kinsoku w:val="0"/>
        <w:overflowPunct w:val="0"/>
        <w:spacing w:before="71"/>
        <w:ind w:right="697"/>
        <w:jc w:val="center"/>
        <w:rPr>
          <w:rFonts w:hint="eastAsia" w:ascii="宋体" w:hAnsi="宋体" w:cs="宋体"/>
          <w:b/>
          <w:spacing w:val="8"/>
          <w:szCs w:val="21"/>
          <w:highlight w:val="none"/>
        </w:rPr>
      </w:pPr>
      <w:r>
        <w:rPr>
          <w:rFonts w:hint="eastAsia" w:ascii="宋体" w:hAnsi="宋体" w:cs="宋体"/>
          <w:kern w:val="0"/>
          <w:szCs w:val="21"/>
          <w:highlight w:val="none"/>
          <w:u w:val="single"/>
        </w:rPr>
        <w:br w:type="page"/>
      </w:r>
      <w:r>
        <w:rPr>
          <w:rFonts w:hint="eastAsia" w:ascii="宋体" w:hAnsi="宋体" w:cs="宋体"/>
          <w:b/>
          <w:spacing w:val="8"/>
          <w:sz w:val="21"/>
          <w:szCs w:val="21"/>
          <w:highlight w:val="none"/>
        </w:rPr>
        <w:t>（二）响应函附录</w:t>
      </w:r>
    </w:p>
    <w:tbl>
      <w:tblPr>
        <w:tblStyle w:val="33"/>
        <w:tblpPr w:leftFromText="180" w:rightFromText="180" w:vertAnchor="text" w:horzAnchor="page" w:tblpX="1819" w:tblpY="359"/>
        <w:tblOverlap w:val="never"/>
        <w:tblW w:w="86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5"/>
        <w:gridCol w:w="6524"/>
      </w:tblGrid>
      <w:tr w14:paraId="79449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135" w:type="dxa"/>
            <w:tcBorders>
              <w:top w:val="single" w:color="auto" w:sz="4" w:space="0"/>
              <w:left w:val="single" w:color="auto" w:sz="4" w:space="0"/>
              <w:bottom w:val="single" w:color="auto" w:sz="4" w:space="0"/>
              <w:right w:val="single" w:color="auto" w:sz="4" w:space="0"/>
            </w:tcBorders>
            <w:vAlign w:val="center"/>
          </w:tcPr>
          <w:p w14:paraId="0790D8E4">
            <w:pPr>
              <w:jc w:val="center"/>
              <w:rPr>
                <w:rFonts w:hint="eastAsia" w:ascii="宋体" w:hAnsi="宋体" w:cs="宋体"/>
                <w:highlight w:val="none"/>
              </w:rPr>
            </w:pPr>
            <w:r>
              <w:rPr>
                <w:rFonts w:hint="eastAsia" w:ascii="宋体" w:hAnsi="宋体" w:cs="宋体"/>
                <w:spacing w:val="-1"/>
                <w:szCs w:val="21"/>
                <w:highlight w:val="none"/>
              </w:rPr>
              <w:t>项目名称</w:t>
            </w:r>
          </w:p>
        </w:tc>
        <w:tc>
          <w:tcPr>
            <w:tcW w:w="6524" w:type="dxa"/>
            <w:tcBorders>
              <w:top w:val="single" w:color="auto" w:sz="4" w:space="0"/>
              <w:left w:val="nil"/>
              <w:bottom w:val="single" w:color="auto" w:sz="4" w:space="0"/>
              <w:right w:val="single" w:color="auto" w:sz="4" w:space="0"/>
            </w:tcBorders>
            <w:vAlign w:val="center"/>
          </w:tcPr>
          <w:p w14:paraId="5ADD5CF9">
            <w:pPr>
              <w:spacing w:line="331" w:lineRule="exact"/>
              <w:jc w:val="center"/>
              <w:rPr>
                <w:rFonts w:hint="eastAsia" w:ascii="宋体" w:hAnsi="宋体" w:cs="宋体"/>
                <w:szCs w:val="21"/>
                <w:highlight w:val="none"/>
              </w:rPr>
            </w:pPr>
          </w:p>
        </w:tc>
      </w:tr>
      <w:tr w14:paraId="6B71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135" w:type="dxa"/>
            <w:tcBorders>
              <w:top w:val="single" w:color="auto" w:sz="4" w:space="0"/>
              <w:left w:val="single" w:color="auto" w:sz="4" w:space="0"/>
              <w:bottom w:val="single" w:color="auto" w:sz="4" w:space="0"/>
              <w:right w:val="single" w:color="auto" w:sz="4" w:space="0"/>
            </w:tcBorders>
            <w:vAlign w:val="center"/>
          </w:tcPr>
          <w:p w14:paraId="5701B662">
            <w:pPr>
              <w:jc w:val="center"/>
              <w:rPr>
                <w:rFonts w:hint="eastAsia" w:ascii="宋体" w:hAnsi="宋体" w:cs="宋体"/>
                <w:spacing w:val="-1"/>
                <w:szCs w:val="21"/>
                <w:highlight w:val="none"/>
              </w:rPr>
            </w:pPr>
            <w:r>
              <w:rPr>
                <w:rFonts w:hint="eastAsia" w:ascii="宋体" w:hAnsi="宋体" w:cs="宋体"/>
                <w:spacing w:val="-1"/>
                <w:szCs w:val="21"/>
                <w:highlight w:val="none"/>
              </w:rPr>
              <w:t>项目编号</w:t>
            </w:r>
          </w:p>
        </w:tc>
        <w:tc>
          <w:tcPr>
            <w:tcW w:w="6524" w:type="dxa"/>
            <w:tcBorders>
              <w:top w:val="single" w:color="auto" w:sz="4" w:space="0"/>
              <w:left w:val="nil"/>
              <w:bottom w:val="single" w:color="auto" w:sz="4" w:space="0"/>
              <w:right w:val="single" w:color="auto" w:sz="4" w:space="0"/>
            </w:tcBorders>
            <w:vAlign w:val="center"/>
          </w:tcPr>
          <w:p w14:paraId="77BEBD51">
            <w:pPr>
              <w:spacing w:line="331" w:lineRule="exact"/>
              <w:jc w:val="center"/>
              <w:rPr>
                <w:rFonts w:hint="eastAsia" w:ascii="宋体" w:hAnsi="宋体" w:cs="宋体"/>
                <w:szCs w:val="21"/>
                <w:highlight w:val="none"/>
              </w:rPr>
            </w:pPr>
          </w:p>
        </w:tc>
      </w:tr>
      <w:tr w14:paraId="42FED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2135" w:type="dxa"/>
            <w:tcBorders>
              <w:top w:val="single" w:color="auto" w:sz="4" w:space="0"/>
              <w:left w:val="single" w:color="auto" w:sz="4" w:space="0"/>
              <w:bottom w:val="single" w:color="auto" w:sz="4" w:space="0"/>
              <w:right w:val="single" w:color="auto" w:sz="4" w:space="0"/>
            </w:tcBorders>
            <w:vAlign w:val="center"/>
          </w:tcPr>
          <w:p w14:paraId="06C439D3">
            <w:pPr>
              <w:spacing w:line="300" w:lineRule="exact"/>
              <w:ind w:right="-239"/>
              <w:jc w:val="center"/>
              <w:rPr>
                <w:rFonts w:hint="eastAsia" w:ascii="宋体" w:hAnsi="宋体" w:cs="宋体"/>
                <w:highlight w:val="none"/>
              </w:rPr>
            </w:pPr>
            <w:r>
              <w:rPr>
                <w:rFonts w:hint="eastAsia" w:ascii="宋体" w:hAnsi="宋体" w:cs="宋体"/>
                <w:spacing w:val="-1"/>
                <w:szCs w:val="21"/>
                <w:highlight w:val="none"/>
              </w:rPr>
              <w:t>供应商名称</w:t>
            </w:r>
          </w:p>
        </w:tc>
        <w:tc>
          <w:tcPr>
            <w:tcW w:w="6524" w:type="dxa"/>
            <w:tcBorders>
              <w:top w:val="single" w:color="auto" w:sz="4" w:space="0"/>
              <w:left w:val="nil"/>
              <w:bottom w:val="single" w:color="auto" w:sz="4" w:space="0"/>
              <w:right w:val="single" w:color="auto" w:sz="4" w:space="0"/>
            </w:tcBorders>
            <w:vAlign w:val="center"/>
          </w:tcPr>
          <w:p w14:paraId="30EB03D5">
            <w:pPr>
              <w:spacing w:line="300" w:lineRule="exact"/>
              <w:jc w:val="center"/>
              <w:rPr>
                <w:rFonts w:hint="eastAsia" w:ascii="宋体" w:hAnsi="宋体" w:cs="宋体"/>
                <w:szCs w:val="21"/>
                <w:highlight w:val="none"/>
              </w:rPr>
            </w:pPr>
          </w:p>
        </w:tc>
      </w:tr>
      <w:tr w14:paraId="5739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2135" w:type="dxa"/>
            <w:tcBorders>
              <w:top w:val="single" w:color="auto" w:sz="4" w:space="0"/>
              <w:left w:val="single" w:color="auto" w:sz="4" w:space="0"/>
              <w:bottom w:val="single" w:color="auto" w:sz="4" w:space="0"/>
              <w:right w:val="single" w:color="auto" w:sz="4" w:space="0"/>
            </w:tcBorders>
            <w:vAlign w:val="center"/>
          </w:tcPr>
          <w:p w14:paraId="45254F98">
            <w:pPr>
              <w:spacing w:line="240" w:lineRule="exact"/>
              <w:ind w:left="1164" w:right="-239"/>
              <w:jc w:val="center"/>
              <w:rPr>
                <w:rFonts w:hint="eastAsia" w:ascii="宋体" w:hAnsi="宋体" w:cs="宋体"/>
                <w:szCs w:val="21"/>
                <w:highlight w:val="none"/>
              </w:rPr>
            </w:pPr>
          </w:p>
          <w:p w14:paraId="436B5E53">
            <w:pPr>
              <w:spacing w:line="307" w:lineRule="exact"/>
              <w:ind w:right="-239"/>
              <w:jc w:val="center"/>
              <w:rPr>
                <w:rFonts w:hint="eastAsia" w:ascii="宋体" w:hAnsi="宋体" w:cs="宋体"/>
                <w:spacing w:val="-1"/>
                <w:szCs w:val="21"/>
                <w:highlight w:val="none"/>
              </w:rPr>
            </w:pPr>
            <w:r>
              <w:rPr>
                <w:rFonts w:hint="eastAsia" w:ascii="宋体" w:hAnsi="宋体" w:cs="宋体"/>
                <w:spacing w:val="-1"/>
                <w:szCs w:val="21"/>
                <w:highlight w:val="none"/>
                <w:lang w:eastAsia="zh-CN"/>
              </w:rPr>
              <w:t>响应</w:t>
            </w:r>
            <w:r>
              <w:rPr>
                <w:rFonts w:hint="eastAsia" w:ascii="宋体" w:hAnsi="宋体" w:cs="宋体"/>
                <w:spacing w:val="-1"/>
                <w:szCs w:val="21"/>
                <w:highlight w:val="none"/>
              </w:rPr>
              <w:t>总报价</w:t>
            </w:r>
          </w:p>
          <w:p w14:paraId="090E6368">
            <w:pPr>
              <w:spacing w:line="307" w:lineRule="exact"/>
              <w:ind w:right="-239"/>
              <w:jc w:val="center"/>
              <w:rPr>
                <w:rFonts w:hint="eastAsia" w:ascii="宋体" w:hAnsi="宋体" w:eastAsia="宋体" w:cs="宋体"/>
                <w:szCs w:val="21"/>
                <w:highlight w:val="none"/>
                <w:lang w:val="en-US" w:eastAsia="zh-CN"/>
              </w:rPr>
            </w:pPr>
            <w:r>
              <w:rPr>
                <w:rFonts w:hint="eastAsia" w:ascii="宋体" w:hAnsi="宋体" w:cs="宋体"/>
                <w:spacing w:val="-1"/>
                <w:szCs w:val="21"/>
                <w:highlight w:val="none"/>
              </w:rPr>
              <w:t>（人民币）</w:t>
            </w:r>
            <w:r>
              <w:rPr>
                <w:rFonts w:hint="eastAsia" w:ascii="宋体" w:hAnsi="宋体" w:cs="宋体"/>
                <w:spacing w:val="-1"/>
                <w:szCs w:val="21"/>
                <w:highlight w:val="none"/>
                <w:lang w:val="en-US" w:eastAsia="zh-CN"/>
              </w:rPr>
              <w:t>含税</w:t>
            </w:r>
          </w:p>
        </w:tc>
        <w:tc>
          <w:tcPr>
            <w:tcW w:w="6524" w:type="dxa"/>
            <w:tcBorders>
              <w:top w:val="single" w:color="auto" w:sz="4" w:space="0"/>
              <w:left w:val="nil"/>
              <w:bottom w:val="single" w:color="auto" w:sz="4" w:space="0"/>
              <w:right w:val="single" w:color="auto" w:sz="4" w:space="0"/>
            </w:tcBorders>
            <w:vAlign w:val="center"/>
          </w:tcPr>
          <w:p w14:paraId="08084AAD">
            <w:pPr>
              <w:spacing w:line="560" w:lineRule="exact"/>
              <w:ind w:right="-238"/>
              <w:jc w:val="left"/>
              <w:rPr>
                <w:rFonts w:hint="eastAsia" w:ascii="宋体" w:hAnsi="宋体" w:cs="宋体"/>
                <w:spacing w:val="-1"/>
                <w:szCs w:val="21"/>
                <w:highlight w:val="none"/>
              </w:rPr>
            </w:pPr>
            <w:r>
              <w:rPr>
                <w:rFonts w:hint="eastAsia" w:ascii="宋体" w:hAnsi="宋体" w:cs="宋体"/>
                <w:spacing w:val="-1"/>
                <w:szCs w:val="21"/>
                <w:highlight w:val="none"/>
              </w:rPr>
              <w:t>大写：</w:t>
            </w:r>
            <w:r>
              <w:rPr>
                <w:rFonts w:hint="eastAsia" w:ascii="宋体" w:hAnsi="宋体" w:cs="宋体"/>
                <w:spacing w:val="-1"/>
                <w:szCs w:val="21"/>
                <w:highlight w:val="none"/>
                <w:u w:val="single"/>
              </w:rPr>
              <w:t xml:space="preserve">           </w:t>
            </w:r>
            <w:r>
              <w:rPr>
                <w:rFonts w:hint="eastAsia" w:ascii="宋体" w:hAnsi="宋体" w:cs="宋体"/>
                <w:spacing w:val="-1"/>
                <w:szCs w:val="21"/>
                <w:highlight w:val="none"/>
              </w:rPr>
              <w:t>； </w:t>
            </w:r>
          </w:p>
          <w:p w14:paraId="412583AC">
            <w:pPr>
              <w:spacing w:line="560" w:lineRule="exact"/>
              <w:ind w:right="-238"/>
              <w:jc w:val="left"/>
              <w:rPr>
                <w:rFonts w:hint="eastAsia" w:ascii="宋体" w:hAnsi="宋体" w:cs="宋体"/>
                <w:spacing w:val="-1"/>
                <w:szCs w:val="21"/>
                <w:highlight w:val="none"/>
                <w:u w:val="single"/>
              </w:rPr>
            </w:pPr>
            <w:r>
              <w:rPr>
                <w:rFonts w:hint="eastAsia" w:ascii="宋体" w:hAnsi="宋体" w:cs="宋体"/>
                <w:spacing w:val="-1"/>
                <w:szCs w:val="21"/>
                <w:highlight w:val="none"/>
              </w:rPr>
              <w:t>小写：</w:t>
            </w:r>
            <w:r>
              <w:rPr>
                <w:rFonts w:hint="eastAsia" w:ascii="宋体" w:hAnsi="宋体" w:cs="宋体"/>
                <w:spacing w:val="-1"/>
                <w:szCs w:val="21"/>
                <w:highlight w:val="none"/>
                <w:u w:val="single"/>
              </w:rPr>
              <w:t>￥        元</w:t>
            </w:r>
          </w:p>
        </w:tc>
      </w:tr>
      <w:tr w14:paraId="1A92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135" w:type="dxa"/>
            <w:tcBorders>
              <w:top w:val="single" w:color="auto" w:sz="4" w:space="0"/>
              <w:left w:val="single" w:color="auto" w:sz="4" w:space="0"/>
              <w:bottom w:val="single" w:color="auto" w:sz="4" w:space="0"/>
              <w:right w:val="single" w:color="auto" w:sz="4" w:space="0"/>
            </w:tcBorders>
            <w:vAlign w:val="center"/>
          </w:tcPr>
          <w:p w14:paraId="495F9913">
            <w:pPr>
              <w:spacing w:line="307" w:lineRule="exact"/>
              <w:ind w:right="-239"/>
              <w:jc w:val="center"/>
              <w:rPr>
                <w:rFonts w:hint="eastAsia" w:ascii="宋体" w:hAnsi="宋体" w:cs="宋体"/>
                <w:spacing w:val="-1"/>
                <w:szCs w:val="21"/>
                <w:highlight w:val="none"/>
              </w:rPr>
            </w:pPr>
            <w:r>
              <w:rPr>
                <w:rFonts w:hint="eastAsia" w:ascii="宋体" w:hAnsi="宋体" w:cs="宋体"/>
                <w:spacing w:val="-1"/>
                <w:szCs w:val="21"/>
                <w:highlight w:val="none"/>
              </w:rPr>
              <w:t>服务内容</w:t>
            </w:r>
          </w:p>
        </w:tc>
        <w:tc>
          <w:tcPr>
            <w:tcW w:w="6524" w:type="dxa"/>
            <w:tcBorders>
              <w:top w:val="single" w:color="auto" w:sz="4" w:space="0"/>
              <w:left w:val="nil"/>
              <w:bottom w:val="single" w:color="auto" w:sz="4" w:space="0"/>
              <w:right w:val="single" w:color="auto" w:sz="4" w:space="0"/>
            </w:tcBorders>
            <w:vAlign w:val="center"/>
          </w:tcPr>
          <w:p w14:paraId="738042DE">
            <w:pPr>
              <w:spacing w:line="560" w:lineRule="exact"/>
              <w:ind w:right="-238"/>
              <w:jc w:val="left"/>
              <w:rPr>
                <w:rFonts w:hint="eastAsia" w:ascii="宋体" w:hAnsi="宋体" w:cs="宋体"/>
                <w:spacing w:val="-1"/>
                <w:szCs w:val="21"/>
                <w:highlight w:val="none"/>
              </w:rPr>
            </w:pPr>
          </w:p>
        </w:tc>
      </w:tr>
      <w:tr w14:paraId="2247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2135" w:type="dxa"/>
            <w:tcBorders>
              <w:top w:val="single" w:color="auto" w:sz="4" w:space="0"/>
              <w:left w:val="single" w:color="auto" w:sz="4" w:space="0"/>
              <w:bottom w:val="single" w:color="auto" w:sz="4" w:space="0"/>
              <w:right w:val="single" w:color="auto" w:sz="4" w:space="0"/>
            </w:tcBorders>
            <w:vAlign w:val="center"/>
          </w:tcPr>
          <w:p w14:paraId="7765443B">
            <w:pPr>
              <w:spacing w:line="240" w:lineRule="exact"/>
              <w:ind w:left="1284" w:right="-239"/>
              <w:jc w:val="center"/>
              <w:rPr>
                <w:rFonts w:hint="eastAsia" w:ascii="宋体" w:hAnsi="宋体" w:cs="宋体"/>
                <w:szCs w:val="21"/>
                <w:highlight w:val="none"/>
              </w:rPr>
            </w:pPr>
          </w:p>
          <w:p w14:paraId="02F79502">
            <w:pPr>
              <w:spacing w:line="295" w:lineRule="exact"/>
              <w:ind w:right="-239"/>
              <w:jc w:val="center"/>
              <w:rPr>
                <w:rFonts w:hint="eastAsia" w:ascii="宋体" w:hAnsi="宋体" w:cs="宋体"/>
                <w:szCs w:val="21"/>
                <w:highlight w:val="none"/>
              </w:rPr>
            </w:pPr>
            <w:r>
              <w:rPr>
                <w:rFonts w:hint="eastAsia" w:ascii="宋体" w:hAnsi="宋体" w:cs="宋体"/>
                <w:spacing w:val="-1"/>
                <w:szCs w:val="21"/>
                <w:highlight w:val="none"/>
              </w:rPr>
              <w:t>服务期限</w:t>
            </w:r>
          </w:p>
        </w:tc>
        <w:tc>
          <w:tcPr>
            <w:tcW w:w="6524" w:type="dxa"/>
            <w:tcBorders>
              <w:top w:val="single" w:color="auto" w:sz="4" w:space="0"/>
              <w:left w:val="nil"/>
              <w:bottom w:val="single" w:color="auto" w:sz="4" w:space="0"/>
              <w:right w:val="single" w:color="auto" w:sz="4" w:space="0"/>
            </w:tcBorders>
            <w:vAlign w:val="center"/>
          </w:tcPr>
          <w:p w14:paraId="6F1C0DB8">
            <w:pPr>
              <w:spacing w:line="295" w:lineRule="exact"/>
              <w:jc w:val="center"/>
              <w:rPr>
                <w:rFonts w:hint="eastAsia" w:ascii="宋体" w:hAnsi="宋体" w:cs="宋体"/>
                <w:szCs w:val="21"/>
                <w:highlight w:val="none"/>
                <w:u w:val="single"/>
              </w:rPr>
            </w:pPr>
          </w:p>
        </w:tc>
      </w:tr>
      <w:tr w14:paraId="4898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2135" w:type="dxa"/>
            <w:tcBorders>
              <w:top w:val="single" w:color="auto" w:sz="4" w:space="0"/>
              <w:left w:val="single" w:color="auto" w:sz="4" w:space="0"/>
              <w:bottom w:val="single" w:color="auto" w:sz="4" w:space="0"/>
              <w:right w:val="single" w:color="auto" w:sz="4" w:space="0"/>
            </w:tcBorders>
            <w:vAlign w:val="center"/>
          </w:tcPr>
          <w:p w14:paraId="0D8E6416">
            <w:pPr>
              <w:spacing w:line="295" w:lineRule="exact"/>
              <w:ind w:right="-239"/>
              <w:jc w:val="center"/>
              <w:rPr>
                <w:rFonts w:hint="eastAsia" w:ascii="宋体" w:hAnsi="宋体" w:eastAsia="宋体" w:cs="宋体"/>
                <w:spacing w:val="-1"/>
                <w:szCs w:val="21"/>
                <w:highlight w:val="none"/>
                <w:lang w:eastAsia="zh-CN"/>
              </w:rPr>
            </w:pPr>
            <w:r>
              <w:rPr>
                <w:rFonts w:hint="eastAsia" w:ascii="宋体" w:hAnsi="宋体" w:cs="宋体"/>
                <w:spacing w:val="-1"/>
                <w:szCs w:val="21"/>
                <w:highlight w:val="none"/>
                <w:lang w:eastAsia="zh-CN"/>
              </w:rPr>
              <w:t>质保期</w:t>
            </w:r>
          </w:p>
        </w:tc>
        <w:tc>
          <w:tcPr>
            <w:tcW w:w="6524" w:type="dxa"/>
            <w:tcBorders>
              <w:top w:val="single" w:color="auto" w:sz="4" w:space="0"/>
              <w:left w:val="nil"/>
              <w:bottom w:val="single" w:color="auto" w:sz="4" w:space="0"/>
              <w:right w:val="single" w:color="auto" w:sz="4" w:space="0"/>
            </w:tcBorders>
            <w:vAlign w:val="center"/>
          </w:tcPr>
          <w:p w14:paraId="544AEDF5">
            <w:pPr>
              <w:spacing w:line="295" w:lineRule="exact"/>
              <w:jc w:val="center"/>
              <w:rPr>
                <w:rFonts w:hint="eastAsia" w:ascii="宋体" w:hAnsi="宋体" w:cs="宋体"/>
                <w:szCs w:val="21"/>
                <w:highlight w:val="none"/>
                <w:u w:val="single"/>
              </w:rPr>
            </w:pPr>
          </w:p>
        </w:tc>
      </w:tr>
      <w:tr w14:paraId="39840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2135" w:type="dxa"/>
            <w:tcBorders>
              <w:top w:val="single" w:color="auto" w:sz="4" w:space="0"/>
              <w:left w:val="single" w:color="auto" w:sz="4" w:space="0"/>
              <w:bottom w:val="single" w:color="auto" w:sz="4" w:space="0"/>
              <w:right w:val="single" w:color="auto" w:sz="4" w:space="0"/>
            </w:tcBorders>
            <w:vAlign w:val="center"/>
          </w:tcPr>
          <w:p w14:paraId="21B68E36">
            <w:pPr>
              <w:spacing w:line="295" w:lineRule="exact"/>
              <w:ind w:right="-239"/>
              <w:jc w:val="center"/>
              <w:rPr>
                <w:rFonts w:hint="eastAsia" w:ascii="宋体" w:hAnsi="宋体" w:cs="宋体"/>
                <w:spacing w:val="-1"/>
                <w:szCs w:val="21"/>
                <w:highlight w:val="none"/>
              </w:rPr>
            </w:pPr>
            <w:r>
              <w:rPr>
                <w:rFonts w:hint="eastAsia" w:ascii="宋体" w:hAnsi="宋体" w:cs="宋体"/>
                <w:spacing w:val="-1"/>
                <w:szCs w:val="21"/>
                <w:highlight w:val="none"/>
              </w:rPr>
              <w:t>质量要求</w:t>
            </w:r>
          </w:p>
        </w:tc>
        <w:tc>
          <w:tcPr>
            <w:tcW w:w="6524" w:type="dxa"/>
            <w:tcBorders>
              <w:top w:val="single" w:color="auto" w:sz="4" w:space="0"/>
              <w:left w:val="nil"/>
              <w:bottom w:val="single" w:color="auto" w:sz="4" w:space="0"/>
              <w:right w:val="single" w:color="auto" w:sz="4" w:space="0"/>
            </w:tcBorders>
            <w:vAlign w:val="center"/>
          </w:tcPr>
          <w:p w14:paraId="737A6510">
            <w:pPr>
              <w:spacing w:line="295" w:lineRule="exact"/>
              <w:jc w:val="center"/>
              <w:rPr>
                <w:rFonts w:hint="eastAsia" w:ascii="宋体" w:hAnsi="宋体" w:cs="宋体"/>
                <w:szCs w:val="21"/>
                <w:highlight w:val="none"/>
                <w:u w:val="single"/>
              </w:rPr>
            </w:pPr>
          </w:p>
        </w:tc>
      </w:tr>
      <w:tr w14:paraId="60E13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2135" w:type="dxa"/>
            <w:tcBorders>
              <w:top w:val="single" w:color="auto" w:sz="4" w:space="0"/>
              <w:left w:val="single" w:color="auto" w:sz="4" w:space="0"/>
              <w:bottom w:val="single" w:color="auto" w:sz="4" w:space="0"/>
              <w:right w:val="single" w:color="auto" w:sz="4" w:space="0"/>
            </w:tcBorders>
            <w:vAlign w:val="center"/>
          </w:tcPr>
          <w:p w14:paraId="18156D00">
            <w:pPr>
              <w:spacing w:line="295" w:lineRule="exact"/>
              <w:ind w:right="-239"/>
              <w:jc w:val="center"/>
              <w:rPr>
                <w:rFonts w:hint="eastAsia" w:ascii="宋体" w:hAnsi="宋体" w:cs="宋体"/>
                <w:spacing w:val="-1"/>
                <w:szCs w:val="21"/>
                <w:highlight w:val="none"/>
              </w:rPr>
            </w:pPr>
            <w:r>
              <w:rPr>
                <w:rFonts w:hint="eastAsia" w:ascii="宋体" w:hAnsi="宋体" w:cs="宋体"/>
                <w:spacing w:val="-1"/>
                <w:szCs w:val="21"/>
                <w:highlight w:val="none"/>
              </w:rPr>
              <w:t>服务地点</w:t>
            </w:r>
          </w:p>
        </w:tc>
        <w:tc>
          <w:tcPr>
            <w:tcW w:w="6524" w:type="dxa"/>
            <w:tcBorders>
              <w:top w:val="single" w:color="auto" w:sz="4" w:space="0"/>
              <w:left w:val="nil"/>
              <w:bottom w:val="single" w:color="auto" w:sz="4" w:space="0"/>
              <w:right w:val="single" w:color="auto" w:sz="4" w:space="0"/>
            </w:tcBorders>
            <w:vAlign w:val="center"/>
          </w:tcPr>
          <w:p w14:paraId="09035BB1">
            <w:pPr>
              <w:spacing w:line="295" w:lineRule="exact"/>
              <w:jc w:val="center"/>
              <w:rPr>
                <w:rFonts w:hint="eastAsia" w:ascii="宋体" w:hAnsi="宋体" w:cs="宋体"/>
                <w:szCs w:val="21"/>
                <w:highlight w:val="none"/>
                <w:u w:val="single"/>
              </w:rPr>
            </w:pPr>
          </w:p>
        </w:tc>
      </w:tr>
      <w:tr w14:paraId="4D95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135" w:type="dxa"/>
            <w:tcBorders>
              <w:top w:val="single" w:color="auto" w:sz="4" w:space="0"/>
              <w:left w:val="single" w:color="auto" w:sz="4" w:space="0"/>
              <w:bottom w:val="single" w:color="auto" w:sz="4" w:space="0"/>
              <w:right w:val="single" w:color="auto" w:sz="4" w:space="0"/>
            </w:tcBorders>
            <w:vAlign w:val="center"/>
          </w:tcPr>
          <w:p w14:paraId="3BBDA278">
            <w:pPr>
              <w:spacing w:line="427" w:lineRule="exact"/>
              <w:ind w:right="-239"/>
              <w:jc w:val="center"/>
              <w:rPr>
                <w:rFonts w:hint="eastAsia" w:ascii="宋体" w:hAnsi="宋体" w:cs="宋体"/>
                <w:szCs w:val="21"/>
                <w:highlight w:val="none"/>
              </w:rPr>
            </w:pPr>
            <w:r>
              <w:rPr>
                <w:rFonts w:hint="eastAsia" w:ascii="宋体" w:hAnsi="宋体" w:cs="宋体"/>
                <w:szCs w:val="21"/>
                <w:highlight w:val="none"/>
                <w:lang w:eastAsia="zh-CN"/>
              </w:rPr>
              <w:t>响应</w:t>
            </w:r>
            <w:r>
              <w:rPr>
                <w:rFonts w:hint="eastAsia" w:ascii="宋体" w:hAnsi="宋体" w:cs="宋体"/>
                <w:szCs w:val="21"/>
                <w:highlight w:val="none"/>
              </w:rPr>
              <w:t>有效期</w:t>
            </w:r>
          </w:p>
        </w:tc>
        <w:tc>
          <w:tcPr>
            <w:tcW w:w="6524" w:type="dxa"/>
            <w:tcBorders>
              <w:top w:val="single" w:color="auto" w:sz="4" w:space="0"/>
              <w:left w:val="nil"/>
              <w:bottom w:val="single" w:color="auto" w:sz="4" w:space="0"/>
              <w:right w:val="single" w:color="auto" w:sz="4" w:space="0"/>
            </w:tcBorders>
            <w:vAlign w:val="center"/>
          </w:tcPr>
          <w:p w14:paraId="750EA324">
            <w:pPr>
              <w:spacing w:line="423" w:lineRule="exact"/>
              <w:ind w:right="-239"/>
              <w:rPr>
                <w:rFonts w:hint="eastAsia" w:ascii="宋体" w:hAnsi="宋体" w:cs="宋体"/>
                <w:szCs w:val="21"/>
                <w:highlight w:val="none"/>
                <w:u w:val="single"/>
              </w:rPr>
            </w:pPr>
            <w:r>
              <w:rPr>
                <w:rFonts w:hint="eastAsia" w:ascii="宋体" w:hAnsi="宋体" w:cs="宋体"/>
                <w:szCs w:val="21"/>
                <w:highlight w:val="none"/>
              </w:rPr>
              <w:t>自响应文件递交截止之日起60日历天。</w:t>
            </w:r>
          </w:p>
        </w:tc>
      </w:tr>
      <w:tr w14:paraId="16576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2135" w:type="dxa"/>
            <w:tcBorders>
              <w:top w:val="single" w:color="auto" w:sz="4" w:space="0"/>
              <w:left w:val="single" w:color="auto" w:sz="4" w:space="0"/>
              <w:bottom w:val="single" w:color="auto" w:sz="4" w:space="0"/>
              <w:right w:val="single" w:color="auto" w:sz="4" w:space="0"/>
            </w:tcBorders>
            <w:vAlign w:val="center"/>
          </w:tcPr>
          <w:p w14:paraId="7F96681B">
            <w:pPr>
              <w:jc w:val="center"/>
              <w:rPr>
                <w:rFonts w:hint="eastAsia" w:ascii="宋体" w:hAnsi="宋体" w:cs="宋体"/>
                <w:spacing w:val="-1"/>
                <w:szCs w:val="21"/>
                <w:highlight w:val="none"/>
              </w:rPr>
            </w:pPr>
            <w:r>
              <w:rPr>
                <w:rFonts w:hint="eastAsia" w:ascii="宋体" w:hAnsi="宋体" w:cs="宋体"/>
                <w:szCs w:val="21"/>
                <w:highlight w:val="none"/>
              </w:rPr>
              <w:t>权利义务</w:t>
            </w:r>
          </w:p>
        </w:tc>
        <w:tc>
          <w:tcPr>
            <w:tcW w:w="6524" w:type="dxa"/>
            <w:tcBorders>
              <w:top w:val="single" w:color="auto" w:sz="4" w:space="0"/>
              <w:left w:val="nil"/>
              <w:bottom w:val="single" w:color="auto" w:sz="4" w:space="0"/>
              <w:right w:val="single" w:color="auto" w:sz="4" w:space="0"/>
            </w:tcBorders>
            <w:vAlign w:val="center"/>
          </w:tcPr>
          <w:p w14:paraId="4824BF41">
            <w:pPr>
              <w:rPr>
                <w:rFonts w:hint="eastAsia" w:ascii="宋体" w:hAnsi="宋体" w:cs="宋体"/>
                <w:szCs w:val="21"/>
                <w:highlight w:val="none"/>
              </w:rPr>
            </w:pPr>
            <w:r>
              <w:rPr>
                <w:rFonts w:hint="eastAsia" w:ascii="宋体" w:hAnsi="宋体" w:cs="宋体"/>
                <w:szCs w:val="21"/>
                <w:highlight w:val="none"/>
              </w:rPr>
              <w:t>我司承诺响应询比文件第四章“合同条款及格式”的相关规定。</w:t>
            </w:r>
          </w:p>
          <w:p w14:paraId="44CA0CBC">
            <w:pPr>
              <w:rPr>
                <w:rFonts w:hint="eastAsia" w:ascii="宋体" w:hAnsi="宋体" w:cs="宋体"/>
                <w:spacing w:val="-1"/>
                <w:szCs w:val="21"/>
                <w:highlight w:val="none"/>
              </w:rPr>
            </w:pPr>
            <w:r>
              <w:rPr>
                <w:rFonts w:hint="eastAsia" w:ascii="宋体" w:hAnsi="宋体" w:cs="宋体"/>
                <w:szCs w:val="21"/>
                <w:highlight w:val="none"/>
              </w:rPr>
              <w:t>注：如优于可列行增加相关条款。</w:t>
            </w:r>
          </w:p>
        </w:tc>
      </w:tr>
      <w:tr w14:paraId="46CB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2135" w:type="dxa"/>
            <w:tcBorders>
              <w:top w:val="single" w:color="auto" w:sz="4" w:space="0"/>
              <w:left w:val="single" w:color="auto" w:sz="4" w:space="0"/>
              <w:bottom w:val="single" w:color="auto" w:sz="4" w:space="0"/>
              <w:right w:val="single" w:color="auto" w:sz="4" w:space="0"/>
            </w:tcBorders>
            <w:vAlign w:val="center"/>
          </w:tcPr>
          <w:p w14:paraId="31FAC346">
            <w:pPr>
              <w:jc w:val="center"/>
              <w:rPr>
                <w:rFonts w:hint="eastAsia" w:ascii="宋体" w:hAnsi="宋体" w:cs="宋体"/>
                <w:spacing w:val="-1"/>
                <w:szCs w:val="21"/>
                <w:highlight w:val="none"/>
              </w:rPr>
            </w:pPr>
            <w:r>
              <w:rPr>
                <w:rFonts w:hint="eastAsia" w:ascii="宋体" w:hAnsi="宋体" w:cs="宋体"/>
                <w:szCs w:val="21"/>
                <w:highlight w:val="none"/>
              </w:rPr>
              <w:t>备注</w:t>
            </w:r>
          </w:p>
        </w:tc>
        <w:tc>
          <w:tcPr>
            <w:tcW w:w="6524" w:type="dxa"/>
            <w:tcBorders>
              <w:top w:val="single" w:color="auto" w:sz="4" w:space="0"/>
              <w:left w:val="nil"/>
              <w:bottom w:val="single" w:color="auto" w:sz="4" w:space="0"/>
              <w:right w:val="single" w:color="auto" w:sz="4" w:space="0"/>
            </w:tcBorders>
            <w:vAlign w:val="center"/>
          </w:tcPr>
          <w:p w14:paraId="7C223156">
            <w:pPr>
              <w:spacing w:line="360" w:lineRule="auto"/>
              <w:jc w:val="center"/>
              <w:rPr>
                <w:rFonts w:hint="eastAsia" w:ascii="宋体" w:hAnsi="宋体" w:cs="宋体"/>
                <w:spacing w:val="-1"/>
                <w:szCs w:val="21"/>
                <w:highlight w:val="none"/>
              </w:rPr>
            </w:pPr>
          </w:p>
        </w:tc>
      </w:tr>
    </w:tbl>
    <w:p w14:paraId="1095C7A5">
      <w:pPr>
        <w:rPr>
          <w:rFonts w:hint="eastAsia" w:ascii="宋体" w:hAnsi="宋体" w:cs="宋体"/>
          <w:b/>
          <w:szCs w:val="21"/>
          <w:highlight w:val="none"/>
        </w:rPr>
      </w:pPr>
    </w:p>
    <w:p w14:paraId="5D18C321">
      <w:pPr>
        <w:pStyle w:val="17"/>
        <w:rPr>
          <w:rFonts w:hint="eastAsia" w:hAnsi="宋体" w:cs="宋体"/>
          <w:highlight w:val="none"/>
        </w:rPr>
      </w:pPr>
    </w:p>
    <w:p w14:paraId="1A02C00D">
      <w:pPr>
        <w:spacing w:line="360" w:lineRule="exact"/>
        <w:rPr>
          <w:rFonts w:hint="eastAsia" w:ascii="宋体" w:hAnsi="宋体" w:cs="宋体"/>
          <w:b/>
          <w:bCs/>
          <w:szCs w:val="21"/>
          <w:highlight w:val="none"/>
        </w:rPr>
      </w:pPr>
    </w:p>
    <w:p w14:paraId="768E7E3F">
      <w:pPr>
        <w:spacing w:line="360" w:lineRule="auto"/>
        <w:ind w:firstLine="2480"/>
        <w:jc w:val="right"/>
        <w:rPr>
          <w:rFonts w:hint="eastAsia" w:ascii="宋体" w:hAnsi="宋体" w:cs="宋体"/>
          <w:spacing w:val="8"/>
          <w:szCs w:val="21"/>
          <w:highlight w:val="none"/>
        </w:rPr>
      </w:pPr>
      <w:bookmarkStart w:id="425" w:name="OLE_LINK16"/>
      <w:r>
        <w:rPr>
          <w:rFonts w:hint="eastAsia" w:ascii="宋体" w:hAnsi="宋体" w:cs="宋体"/>
          <w:spacing w:val="8"/>
          <w:szCs w:val="21"/>
          <w:highlight w:val="none"/>
        </w:rPr>
        <w:t>供应商：</w:t>
      </w:r>
      <w:r>
        <w:rPr>
          <w:rFonts w:hint="eastAsia" w:ascii="宋体" w:hAnsi="宋体" w:cs="宋体"/>
          <w:spacing w:val="8"/>
          <w:szCs w:val="21"/>
          <w:highlight w:val="none"/>
          <w:u w:val="single"/>
        </w:rPr>
        <w:t xml:space="preserve">                              （盖章）</w:t>
      </w:r>
    </w:p>
    <w:p w14:paraId="538E3AAF">
      <w:pPr>
        <w:spacing w:line="360" w:lineRule="auto"/>
        <w:ind w:firstLine="1695" w:firstLineChars="750"/>
        <w:jc w:val="right"/>
        <w:rPr>
          <w:rFonts w:hint="eastAsia" w:ascii="宋体" w:hAnsi="宋体" w:cs="宋体"/>
          <w:spacing w:val="8"/>
          <w:szCs w:val="21"/>
          <w:highlight w:val="none"/>
        </w:rPr>
      </w:pPr>
      <w:r>
        <w:rPr>
          <w:rFonts w:hint="eastAsia" w:ascii="宋体" w:hAnsi="宋体" w:cs="宋体"/>
          <w:spacing w:val="8"/>
          <w:szCs w:val="21"/>
          <w:highlight w:val="none"/>
        </w:rPr>
        <w:t>法定代表人或其委托代理人：</w:t>
      </w:r>
      <w:r>
        <w:rPr>
          <w:rFonts w:hint="eastAsia" w:ascii="宋体" w:hAnsi="宋体" w:cs="宋体"/>
          <w:spacing w:val="8"/>
          <w:szCs w:val="21"/>
          <w:highlight w:val="none"/>
          <w:u w:val="single"/>
        </w:rPr>
        <w:t xml:space="preserve">          （签字或盖章）</w:t>
      </w:r>
    </w:p>
    <w:p w14:paraId="126E38E6">
      <w:pPr>
        <w:spacing w:line="360" w:lineRule="auto"/>
        <w:jc w:val="center"/>
        <w:rPr>
          <w:rFonts w:hint="eastAsia" w:ascii="宋体" w:hAnsi="宋体" w:cs="宋体"/>
          <w:spacing w:val="8"/>
          <w:szCs w:val="21"/>
          <w:highlight w:val="none"/>
        </w:rPr>
      </w:pPr>
      <w:r>
        <w:rPr>
          <w:rFonts w:hint="eastAsia" w:ascii="宋体" w:hAnsi="宋体" w:cs="宋体"/>
          <w:spacing w:val="8"/>
          <w:szCs w:val="21"/>
          <w:highlight w:val="none"/>
        </w:rPr>
        <w:t xml:space="preserve">                   日  期：</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年</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月</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日</w:t>
      </w:r>
    </w:p>
    <w:bookmarkEnd w:id="425"/>
    <w:p w14:paraId="7E7EC405">
      <w:pPr>
        <w:rPr>
          <w:rFonts w:hint="eastAsia" w:ascii="宋体" w:hAnsi="宋体" w:cs="宋体"/>
          <w:b/>
          <w:spacing w:val="8"/>
          <w:szCs w:val="21"/>
          <w:highlight w:val="none"/>
        </w:rPr>
      </w:pPr>
      <w:r>
        <w:rPr>
          <w:rFonts w:hint="eastAsia" w:ascii="宋体" w:hAnsi="宋体" w:cs="宋体"/>
          <w:b/>
          <w:spacing w:val="8"/>
          <w:szCs w:val="21"/>
          <w:highlight w:val="none"/>
        </w:rPr>
        <w:br w:type="page"/>
      </w:r>
    </w:p>
    <w:p w14:paraId="1B88BAAD">
      <w:pPr>
        <w:spacing w:line="360" w:lineRule="auto"/>
        <w:jc w:val="both"/>
        <w:rPr>
          <w:rFonts w:hint="eastAsia" w:ascii="宋体" w:hAnsi="宋体" w:cs="宋体"/>
          <w:b/>
          <w:spacing w:val="8"/>
          <w:szCs w:val="21"/>
          <w:highlight w:val="none"/>
        </w:rPr>
      </w:pPr>
      <w:r>
        <w:rPr>
          <w:rFonts w:hint="eastAsia" w:ascii="宋体" w:hAnsi="宋体" w:cs="宋体"/>
          <w:b/>
          <w:spacing w:val="8"/>
          <w:szCs w:val="21"/>
          <w:highlight w:val="none"/>
        </w:rPr>
        <w:t>二、法定代表人身份证明书</w:t>
      </w:r>
    </w:p>
    <w:p w14:paraId="676E3B63">
      <w:pPr>
        <w:spacing w:line="360" w:lineRule="auto"/>
        <w:jc w:val="center"/>
        <w:rPr>
          <w:rFonts w:hint="eastAsia" w:ascii="宋体" w:hAnsi="宋体" w:cs="宋体"/>
          <w:b/>
          <w:spacing w:val="8"/>
          <w:szCs w:val="21"/>
          <w:highlight w:val="none"/>
        </w:rPr>
      </w:pPr>
    </w:p>
    <w:p w14:paraId="0AE93C2E">
      <w:pPr>
        <w:spacing w:line="360" w:lineRule="auto"/>
        <w:rPr>
          <w:rFonts w:hint="eastAsia" w:ascii="宋体" w:hAnsi="宋体" w:cs="宋体"/>
          <w:spacing w:val="8"/>
          <w:szCs w:val="21"/>
          <w:highlight w:val="none"/>
          <w:u w:val="single"/>
        </w:rPr>
      </w:pPr>
      <w:r>
        <w:rPr>
          <w:rFonts w:hint="eastAsia" w:ascii="宋体" w:hAnsi="宋体" w:cs="宋体"/>
          <w:b/>
          <w:spacing w:val="8"/>
          <w:szCs w:val="21"/>
          <w:highlight w:val="none"/>
        </w:rPr>
        <w:t xml:space="preserve">    </w:t>
      </w:r>
      <w:r>
        <w:rPr>
          <w:rFonts w:hint="eastAsia" w:ascii="宋体" w:hAnsi="宋体" w:cs="宋体"/>
          <w:spacing w:val="8"/>
          <w:szCs w:val="21"/>
          <w:highlight w:val="none"/>
        </w:rPr>
        <w:t>单位名称：</w:t>
      </w:r>
      <w:r>
        <w:rPr>
          <w:rFonts w:hint="eastAsia" w:ascii="宋体" w:hAnsi="宋体" w:cs="宋体"/>
          <w:spacing w:val="8"/>
          <w:szCs w:val="21"/>
          <w:highlight w:val="none"/>
          <w:u w:val="single"/>
        </w:rPr>
        <w:t xml:space="preserve">                                       </w:t>
      </w:r>
    </w:p>
    <w:p w14:paraId="30B663D0">
      <w:pPr>
        <w:spacing w:line="360" w:lineRule="auto"/>
        <w:ind w:firstLine="452" w:firstLineChars="200"/>
        <w:rPr>
          <w:rFonts w:hint="eastAsia" w:ascii="宋体" w:hAnsi="宋体" w:cs="宋体"/>
          <w:spacing w:val="8"/>
          <w:szCs w:val="21"/>
          <w:highlight w:val="none"/>
          <w:u w:val="single"/>
        </w:rPr>
      </w:pPr>
      <w:r>
        <w:rPr>
          <w:rFonts w:hint="eastAsia" w:ascii="宋体" w:hAnsi="宋体" w:cs="宋体"/>
          <w:spacing w:val="8"/>
          <w:szCs w:val="21"/>
          <w:highlight w:val="none"/>
        </w:rPr>
        <w:t>单位性质：</w:t>
      </w:r>
      <w:r>
        <w:rPr>
          <w:rFonts w:hint="eastAsia" w:ascii="宋体" w:hAnsi="宋体" w:cs="宋体"/>
          <w:spacing w:val="8"/>
          <w:szCs w:val="21"/>
          <w:highlight w:val="none"/>
          <w:u w:val="single"/>
        </w:rPr>
        <w:t xml:space="preserve">                                       </w:t>
      </w:r>
    </w:p>
    <w:p w14:paraId="601FF7C1">
      <w:pPr>
        <w:spacing w:line="360" w:lineRule="auto"/>
        <w:ind w:firstLine="452" w:firstLineChars="200"/>
        <w:rPr>
          <w:rFonts w:hint="eastAsia" w:ascii="宋体" w:hAnsi="宋体" w:cs="宋体"/>
          <w:spacing w:val="8"/>
          <w:szCs w:val="21"/>
          <w:highlight w:val="none"/>
        </w:rPr>
      </w:pPr>
      <w:r>
        <w:rPr>
          <w:rFonts w:hint="eastAsia" w:ascii="宋体" w:hAnsi="宋体" w:cs="宋体"/>
          <w:spacing w:val="8"/>
          <w:szCs w:val="21"/>
          <w:highlight w:val="none"/>
        </w:rPr>
        <w:t>地      址：</w:t>
      </w:r>
      <w:r>
        <w:rPr>
          <w:rFonts w:hint="eastAsia" w:ascii="宋体" w:hAnsi="宋体" w:cs="宋体"/>
          <w:spacing w:val="8"/>
          <w:szCs w:val="21"/>
          <w:highlight w:val="none"/>
          <w:u w:val="single"/>
        </w:rPr>
        <w:t xml:space="preserve">                                       </w:t>
      </w:r>
    </w:p>
    <w:p w14:paraId="4570951C">
      <w:pPr>
        <w:spacing w:line="360" w:lineRule="auto"/>
        <w:rPr>
          <w:rFonts w:hint="eastAsia" w:ascii="宋体" w:hAnsi="宋体" w:cs="宋体"/>
          <w:spacing w:val="8"/>
          <w:szCs w:val="21"/>
          <w:highlight w:val="none"/>
        </w:rPr>
      </w:pPr>
      <w:r>
        <w:rPr>
          <w:rFonts w:hint="eastAsia" w:ascii="宋体" w:hAnsi="宋体" w:cs="宋体"/>
          <w:spacing w:val="8"/>
          <w:szCs w:val="21"/>
          <w:highlight w:val="none"/>
        </w:rPr>
        <w:t xml:space="preserve">    成立时间： </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年</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月</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日</w:t>
      </w:r>
    </w:p>
    <w:p w14:paraId="0B151F87">
      <w:pPr>
        <w:spacing w:line="360" w:lineRule="auto"/>
        <w:rPr>
          <w:rFonts w:hint="eastAsia" w:ascii="宋体" w:hAnsi="宋体" w:cs="宋体"/>
          <w:spacing w:val="8"/>
          <w:szCs w:val="21"/>
          <w:highlight w:val="none"/>
        </w:rPr>
      </w:pPr>
      <w:r>
        <w:rPr>
          <w:rFonts w:hint="eastAsia" w:ascii="宋体" w:hAnsi="宋体" w:cs="宋体"/>
          <w:spacing w:val="8"/>
          <w:szCs w:val="21"/>
          <w:highlight w:val="none"/>
        </w:rPr>
        <w:t xml:space="preserve">    经营期限：</w:t>
      </w:r>
      <w:r>
        <w:rPr>
          <w:rFonts w:hint="eastAsia" w:ascii="宋体" w:hAnsi="宋体" w:cs="宋体"/>
          <w:spacing w:val="8"/>
          <w:szCs w:val="21"/>
          <w:highlight w:val="none"/>
          <w:u w:val="single"/>
        </w:rPr>
        <w:t xml:space="preserve">                                       </w:t>
      </w:r>
    </w:p>
    <w:p w14:paraId="4467350A">
      <w:pPr>
        <w:spacing w:line="360" w:lineRule="auto"/>
        <w:rPr>
          <w:rFonts w:hint="eastAsia" w:ascii="宋体" w:hAnsi="宋体" w:cs="宋体"/>
          <w:spacing w:val="8"/>
          <w:szCs w:val="21"/>
          <w:highlight w:val="none"/>
        </w:rPr>
      </w:pPr>
      <w:r>
        <w:rPr>
          <w:rFonts w:hint="eastAsia" w:ascii="宋体" w:hAnsi="宋体" w:cs="宋体"/>
          <w:spacing w:val="8"/>
          <w:szCs w:val="21"/>
          <w:highlight w:val="none"/>
        </w:rPr>
        <w:t xml:space="preserve">    姓    名：</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性别：</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 xml:space="preserve">  年龄：</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职务：</w:t>
      </w:r>
      <w:r>
        <w:rPr>
          <w:rFonts w:hint="eastAsia" w:ascii="宋体" w:hAnsi="宋体" w:cs="宋体"/>
          <w:spacing w:val="8"/>
          <w:szCs w:val="21"/>
          <w:highlight w:val="none"/>
          <w:u w:val="single"/>
        </w:rPr>
        <w:t xml:space="preserve">        </w:t>
      </w:r>
    </w:p>
    <w:p w14:paraId="466AA6E9">
      <w:pPr>
        <w:spacing w:line="360" w:lineRule="auto"/>
        <w:rPr>
          <w:rFonts w:hint="eastAsia" w:ascii="宋体" w:hAnsi="宋体" w:cs="宋体"/>
          <w:spacing w:val="8"/>
          <w:szCs w:val="21"/>
          <w:highlight w:val="none"/>
        </w:rPr>
      </w:pPr>
      <w:r>
        <w:rPr>
          <w:rFonts w:hint="eastAsia" w:ascii="宋体" w:hAnsi="宋体" w:cs="宋体"/>
          <w:spacing w:val="8"/>
          <w:szCs w:val="21"/>
          <w:highlight w:val="none"/>
        </w:rPr>
        <w:t xml:space="preserve">    系</w:t>
      </w:r>
      <w:r>
        <w:rPr>
          <w:rFonts w:hint="eastAsia" w:ascii="宋体" w:hAnsi="宋体" w:cs="宋体"/>
          <w:spacing w:val="8"/>
          <w:szCs w:val="21"/>
          <w:highlight w:val="none"/>
          <w:u w:val="single"/>
        </w:rPr>
        <w:t xml:space="preserve">     （供应商名称）         </w:t>
      </w:r>
      <w:r>
        <w:rPr>
          <w:rFonts w:hint="eastAsia" w:ascii="宋体" w:hAnsi="宋体" w:cs="宋体"/>
          <w:spacing w:val="8"/>
          <w:szCs w:val="21"/>
          <w:highlight w:val="none"/>
        </w:rPr>
        <w:t xml:space="preserve"> 的法定代表人。</w:t>
      </w:r>
    </w:p>
    <w:p w14:paraId="0492102A">
      <w:pPr>
        <w:spacing w:line="360" w:lineRule="auto"/>
        <w:rPr>
          <w:rFonts w:hint="eastAsia" w:ascii="宋体" w:hAnsi="宋体" w:cs="宋体"/>
          <w:spacing w:val="8"/>
          <w:szCs w:val="21"/>
          <w:highlight w:val="none"/>
        </w:rPr>
      </w:pPr>
      <w:r>
        <w:rPr>
          <w:rFonts w:hint="eastAsia" w:ascii="宋体" w:hAnsi="宋体" w:cs="宋体"/>
          <w:spacing w:val="8"/>
          <w:szCs w:val="21"/>
          <w:highlight w:val="none"/>
        </w:rPr>
        <w:t xml:space="preserve">    </w:t>
      </w:r>
    </w:p>
    <w:p w14:paraId="7282D4BA">
      <w:pPr>
        <w:spacing w:line="360" w:lineRule="auto"/>
        <w:ind w:firstLine="496"/>
        <w:rPr>
          <w:rFonts w:hint="eastAsia" w:ascii="宋体" w:hAnsi="宋体" w:cs="宋体"/>
          <w:spacing w:val="8"/>
          <w:szCs w:val="21"/>
          <w:highlight w:val="none"/>
        </w:rPr>
      </w:pPr>
      <w:r>
        <w:rPr>
          <w:rFonts w:hint="eastAsia" w:ascii="宋体" w:hAnsi="宋体" w:cs="宋体"/>
          <w:spacing w:val="8"/>
          <w:szCs w:val="21"/>
          <w:highlight w:val="none"/>
        </w:rPr>
        <w:t>特此证明。</w:t>
      </w:r>
    </w:p>
    <w:p w14:paraId="2027C9A0">
      <w:pPr>
        <w:spacing w:line="360" w:lineRule="auto"/>
        <w:rPr>
          <w:rFonts w:hint="eastAsia" w:ascii="宋体" w:hAnsi="宋体" w:cs="宋体"/>
          <w:spacing w:val="8"/>
          <w:szCs w:val="21"/>
          <w:highlight w:val="none"/>
        </w:rPr>
      </w:pPr>
      <w:r>
        <w:rPr>
          <w:rFonts w:hint="eastAsia" w:ascii="宋体" w:hAnsi="宋体" w:cs="宋体"/>
          <w:spacing w:val="8"/>
          <w:szCs w:val="21"/>
          <w:highlight w:val="none"/>
        </w:rPr>
        <w:t xml:space="preserve">   </w:t>
      </w:r>
    </w:p>
    <w:p w14:paraId="316EC1E3">
      <w:pPr>
        <w:spacing w:line="360" w:lineRule="auto"/>
        <w:rPr>
          <w:rFonts w:hint="eastAsia" w:ascii="宋体" w:hAnsi="宋体" w:cs="宋体"/>
          <w:spacing w:val="8"/>
          <w:szCs w:val="21"/>
          <w:highlight w:val="none"/>
        </w:rPr>
      </w:pPr>
    </w:p>
    <w:p w14:paraId="0110F53D">
      <w:pPr>
        <w:spacing w:line="360" w:lineRule="auto"/>
        <w:rPr>
          <w:rFonts w:hint="eastAsia" w:ascii="宋体" w:hAnsi="宋体" w:cs="宋体"/>
          <w:spacing w:val="8"/>
          <w:szCs w:val="21"/>
          <w:highlight w:val="none"/>
        </w:rPr>
      </w:pPr>
    </w:p>
    <w:p w14:paraId="029CDB7D">
      <w:pPr>
        <w:spacing w:line="360" w:lineRule="auto"/>
        <w:rPr>
          <w:rFonts w:hint="eastAsia" w:ascii="宋体" w:hAnsi="宋体" w:cs="宋体"/>
          <w:spacing w:val="8"/>
          <w:szCs w:val="21"/>
          <w:highlight w:val="none"/>
        </w:rPr>
      </w:pPr>
    </w:p>
    <w:p w14:paraId="569CF1F9">
      <w:pPr>
        <w:spacing w:line="360" w:lineRule="auto"/>
        <w:ind w:firstLine="2480"/>
        <w:rPr>
          <w:rFonts w:hint="eastAsia" w:ascii="宋体" w:hAnsi="宋体" w:cs="宋体"/>
          <w:spacing w:val="8"/>
          <w:szCs w:val="21"/>
          <w:highlight w:val="none"/>
        </w:rPr>
      </w:pPr>
      <w:r>
        <w:rPr>
          <w:rFonts w:hint="eastAsia" w:ascii="宋体" w:hAnsi="宋体" w:cs="宋体"/>
          <w:spacing w:val="8"/>
          <w:szCs w:val="21"/>
          <w:highlight w:val="none"/>
        </w:rPr>
        <w:t>供应商：</w:t>
      </w:r>
      <w:r>
        <w:rPr>
          <w:rFonts w:hint="eastAsia" w:ascii="宋体" w:hAnsi="宋体" w:cs="宋体"/>
          <w:spacing w:val="8"/>
          <w:szCs w:val="21"/>
          <w:highlight w:val="none"/>
          <w:u w:val="single"/>
        </w:rPr>
        <w:t xml:space="preserve">                              （盖章）</w:t>
      </w:r>
    </w:p>
    <w:p w14:paraId="5DFBBF32">
      <w:pPr>
        <w:spacing w:line="360" w:lineRule="auto"/>
        <w:ind w:firstLine="2480"/>
        <w:rPr>
          <w:rFonts w:hint="eastAsia" w:ascii="宋体" w:hAnsi="宋体" w:cs="宋体"/>
          <w:spacing w:val="8"/>
          <w:szCs w:val="21"/>
          <w:highlight w:val="none"/>
        </w:rPr>
      </w:pPr>
      <w:r>
        <w:rPr>
          <w:rFonts w:hint="eastAsia" w:ascii="宋体" w:hAnsi="宋体" w:cs="宋体"/>
          <w:spacing w:val="8"/>
          <w:szCs w:val="21"/>
          <w:highlight w:val="none"/>
        </w:rPr>
        <w:t>法定代表人：</w:t>
      </w:r>
      <w:r>
        <w:rPr>
          <w:rFonts w:hint="eastAsia" w:ascii="宋体" w:hAnsi="宋体" w:cs="宋体"/>
          <w:spacing w:val="8"/>
          <w:szCs w:val="21"/>
          <w:highlight w:val="none"/>
          <w:u w:val="single"/>
        </w:rPr>
        <w:t xml:space="preserve">                   （签字或盖章）</w:t>
      </w:r>
    </w:p>
    <w:p w14:paraId="1DE2DBAD">
      <w:pPr>
        <w:spacing w:line="360" w:lineRule="auto"/>
        <w:rPr>
          <w:rFonts w:hint="eastAsia" w:ascii="宋体" w:hAnsi="宋体" w:cs="宋体"/>
          <w:b/>
          <w:spacing w:val="8"/>
          <w:szCs w:val="21"/>
          <w:highlight w:val="none"/>
        </w:rPr>
      </w:pPr>
      <w:r>
        <w:rPr>
          <w:rFonts w:hint="eastAsia" w:ascii="宋体" w:hAnsi="宋体" w:cs="宋体"/>
          <w:spacing w:val="8"/>
          <w:szCs w:val="21"/>
          <w:highlight w:val="none"/>
        </w:rPr>
        <w:t xml:space="preserve">                        日  期：</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年</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月</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日</w:t>
      </w:r>
    </w:p>
    <w:p w14:paraId="23122EA7">
      <w:pPr>
        <w:spacing w:line="360" w:lineRule="auto"/>
        <w:jc w:val="center"/>
        <w:rPr>
          <w:rFonts w:hint="eastAsia" w:ascii="宋体" w:hAnsi="宋体" w:cs="宋体"/>
          <w:b/>
          <w:spacing w:val="8"/>
          <w:szCs w:val="21"/>
          <w:highlight w:val="none"/>
        </w:rPr>
      </w:pPr>
      <w:r>
        <w:rPr>
          <w:rFonts w:hint="eastAsia" w:ascii="宋体" w:hAnsi="宋体" w:cs="宋体"/>
          <w:b/>
          <w:spacing w:val="8"/>
          <w:szCs w:val="21"/>
          <w:highlight w:val="none"/>
        </w:rPr>
        <w:t xml:space="preserve">  </w:t>
      </w:r>
    </w:p>
    <w:p w14:paraId="0B9475FE">
      <w:pPr>
        <w:spacing w:line="360" w:lineRule="auto"/>
        <w:jc w:val="center"/>
        <w:rPr>
          <w:rFonts w:hint="eastAsia" w:ascii="宋体" w:hAnsi="宋体" w:cs="宋体"/>
          <w:b/>
          <w:spacing w:val="8"/>
          <w:szCs w:val="21"/>
          <w:highlight w:val="none"/>
        </w:rPr>
      </w:pPr>
    </w:p>
    <w:p w14:paraId="597F4306">
      <w:pPr>
        <w:spacing w:line="360" w:lineRule="auto"/>
        <w:rPr>
          <w:rFonts w:hint="eastAsia" w:ascii="宋体" w:hAnsi="宋体" w:cs="宋体"/>
          <w:spacing w:val="8"/>
          <w:szCs w:val="21"/>
          <w:highlight w:val="none"/>
        </w:rPr>
      </w:pPr>
      <w:r>
        <w:rPr>
          <w:rFonts w:hint="eastAsia" w:ascii="宋体" w:hAnsi="宋体" w:cs="宋体"/>
          <w:spacing w:val="8"/>
          <w:szCs w:val="21"/>
          <w:highlight w:val="none"/>
        </w:rPr>
        <w:t xml:space="preserve"> 附：法定代表人身份证复印件，加盖单位公章。</w:t>
      </w:r>
    </w:p>
    <w:p w14:paraId="04412976">
      <w:pPr>
        <w:rPr>
          <w:rFonts w:hint="eastAsia" w:ascii="宋体" w:hAnsi="宋体" w:cs="宋体"/>
          <w:b/>
          <w:spacing w:val="8"/>
          <w:szCs w:val="21"/>
          <w:highlight w:val="none"/>
        </w:rPr>
      </w:pPr>
      <w:r>
        <w:rPr>
          <w:rFonts w:hint="eastAsia" w:ascii="宋体" w:hAnsi="宋体" w:cs="宋体"/>
          <w:b/>
          <w:spacing w:val="8"/>
          <w:szCs w:val="21"/>
          <w:highlight w:val="none"/>
        </w:rPr>
        <w:br w:type="page"/>
      </w:r>
    </w:p>
    <w:p w14:paraId="023B2E67">
      <w:pPr>
        <w:spacing w:line="360" w:lineRule="auto"/>
        <w:jc w:val="left"/>
        <w:rPr>
          <w:rFonts w:hint="eastAsia" w:ascii="宋体" w:hAnsi="宋体" w:cs="宋体"/>
          <w:b/>
          <w:szCs w:val="21"/>
          <w:highlight w:val="none"/>
        </w:rPr>
      </w:pPr>
      <w:r>
        <w:rPr>
          <w:rFonts w:hint="eastAsia" w:ascii="宋体" w:hAnsi="宋体" w:cs="宋体"/>
          <w:b/>
          <w:spacing w:val="8"/>
          <w:szCs w:val="21"/>
          <w:highlight w:val="none"/>
        </w:rPr>
        <w:t>三、法定代表人授权委托书</w:t>
      </w:r>
    </w:p>
    <w:p w14:paraId="336FC424">
      <w:pPr>
        <w:spacing w:line="360" w:lineRule="auto"/>
        <w:jc w:val="center"/>
        <w:rPr>
          <w:rFonts w:hint="eastAsia" w:ascii="宋体" w:hAnsi="宋体" w:cs="宋体"/>
          <w:b/>
          <w:spacing w:val="8"/>
          <w:szCs w:val="21"/>
          <w:highlight w:val="none"/>
        </w:rPr>
      </w:pPr>
    </w:p>
    <w:p w14:paraId="61C45EB0">
      <w:pPr>
        <w:widowControl/>
        <w:snapToGrid w:val="0"/>
        <w:spacing w:line="600" w:lineRule="atLeast"/>
        <w:ind w:firstLine="420" w:firstLineChars="200"/>
        <w:rPr>
          <w:rFonts w:hint="eastAsia" w:ascii="宋体" w:hAnsi="宋体" w:cs="宋体"/>
          <w:kern w:val="0"/>
          <w:szCs w:val="21"/>
          <w:highlight w:val="none"/>
        </w:rPr>
      </w:pPr>
      <w:r>
        <w:rPr>
          <w:rFonts w:hint="eastAsia" w:ascii="宋体" w:hAnsi="宋体" w:cs="宋体"/>
          <w:kern w:val="0"/>
          <w:szCs w:val="21"/>
          <w:highlight w:val="none"/>
        </w:rPr>
        <w:t>本人</w:t>
      </w:r>
      <w:r>
        <w:rPr>
          <w:rFonts w:hint="eastAsia" w:ascii="宋体" w:hAnsi="宋体" w:cs="宋体"/>
          <w:kern w:val="0"/>
          <w:szCs w:val="21"/>
          <w:highlight w:val="none"/>
          <w:u w:val="single"/>
        </w:rPr>
        <w:t>（姓名）</w:t>
      </w:r>
      <w:r>
        <w:rPr>
          <w:rFonts w:hint="eastAsia" w:ascii="宋体" w:hAnsi="宋体" w:cs="宋体"/>
          <w:kern w:val="0"/>
          <w:szCs w:val="21"/>
          <w:highlight w:val="none"/>
        </w:rPr>
        <w:t>系</w:t>
      </w:r>
      <w:r>
        <w:rPr>
          <w:rFonts w:hint="eastAsia" w:ascii="宋体" w:hAnsi="宋体" w:cs="宋体"/>
          <w:kern w:val="0"/>
          <w:szCs w:val="21"/>
          <w:highlight w:val="none"/>
          <w:u w:val="single"/>
        </w:rPr>
        <w:t>（供应商名称）</w:t>
      </w:r>
      <w:r>
        <w:rPr>
          <w:rFonts w:hint="eastAsia" w:ascii="宋体" w:hAnsi="宋体" w:cs="宋体"/>
          <w:kern w:val="0"/>
          <w:szCs w:val="21"/>
          <w:highlight w:val="none"/>
        </w:rPr>
        <w:t>的法定代表人，现授权委托</w:t>
      </w:r>
      <w:r>
        <w:rPr>
          <w:rFonts w:hint="eastAsia" w:ascii="宋体" w:hAnsi="宋体" w:cs="宋体"/>
          <w:kern w:val="0"/>
          <w:szCs w:val="21"/>
          <w:highlight w:val="none"/>
          <w:u w:val="single"/>
        </w:rPr>
        <w:t>（姓名）</w:t>
      </w:r>
      <w:r>
        <w:rPr>
          <w:rFonts w:hint="eastAsia" w:ascii="宋体" w:hAnsi="宋体" w:cs="宋体"/>
          <w:kern w:val="0"/>
          <w:szCs w:val="21"/>
          <w:highlight w:val="none"/>
        </w:rPr>
        <w:t>为我单位</w:t>
      </w:r>
      <w:r>
        <w:rPr>
          <w:rFonts w:hint="eastAsia" w:ascii="宋体" w:hAnsi="宋体" w:cs="宋体"/>
          <w:kern w:val="0"/>
          <w:szCs w:val="21"/>
          <w:highlight w:val="none"/>
          <w:u w:val="single"/>
        </w:rPr>
        <w:t xml:space="preserve">  （供应商名称）</w:t>
      </w:r>
      <w:r>
        <w:rPr>
          <w:rFonts w:hint="eastAsia" w:ascii="宋体" w:hAnsi="宋体" w:cs="宋体"/>
          <w:kern w:val="0"/>
          <w:szCs w:val="21"/>
          <w:highlight w:val="none"/>
        </w:rPr>
        <w:t>代理人，以本单位名义参加</w:t>
      </w:r>
      <w:r>
        <w:rPr>
          <w:rFonts w:hint="eastAsia" w:ascii="宋体" w:hAnsi="宋体" w:cs="宋体"/>
          <w:kern w:val="0"/>
          <w:szCs w:val="21"/>
          <w:highlight w:val="none"/>
          <w:u w:val="single"/>
        </w:rPr>
        <w:t>（采购单位名称）</w:t>
      </w:r>
      <w:r>
        <w:rPr>
          <w:rFonts w:hint="eastAsia" w:ascii="宋体" w:hAnsi="宋体" w:cs="宋体"/>
          <w:kern w:val="0"/>
          <w:szCs w:val="21"/>
          <w:highlight w:val="none"/>
        </w:rPr>
        <w:t>的</w:t>
      </w:r>
      <w:r>
        <w:rPr>
          <w:rFonts w:hint="eastAsia" w:ascii="宋体" w:hAnsi="宋体" w:cs="宋体"/>
          <w:kern w:val="0"/>
          <w:szCs w:val="21"/>
          <w:highlight w:val="none"/>
          <w:u w:val="single"/>
        </w:rPr>
        <w:t xml:space="preserve">    （项目名称）   </w:t>
      </w:r>
      <w:r>
        <w:rPr>
          <w:rFonts w:hint="eastAsia" w:ascii="宋体" w:hAnsi="宋体" w:cs="宋体"/>
          <w:kern w:val="0"/>
          <w:szCs w:val="21"/>
          <w:highlight w:val="none"/>
        </w:rPr>
        <w:t>的投标活动。代理人在开标、评标、合同谈判过程中所签署的一切文件和处理与之有关的一切事务，其法律后果由我方承担。</w:t>
      </w:r>
    </w:p>
    <w:p w14:paraId="45716CF7">
      <w:pPr>
        <w:widowControl/>
        <w:snapToGrid w:val="0"/>
        <w:spacing w:line="600" w:lineRule="atLeast"/>
        <w:ind w:firstLine="624"/>
        <w:rPr>
          <w:rFonts w:hint="eastAsia" w:ascii="宋体" w:hAnsi="宋体" w:cs="宋体"/>
          <w:kern w:val="0"/>
          <w:szCs w:val="21"/>
          <w:highlight w:val="none"/>
        </w:rPr>
      </w:pPr>
      <w:r>
        <w:rPr>
          <w:rFonts w:hint="eastAsia" w:ascii="宋体" w:hAnsi="宋体" w:cs="宋体"/>
          <w:kern w:val="0"/>
          <w:szCs w:val="21"/>
          <w:highlight w:val="none"/>
        </w:rPr>
        <w:t>代理人无转委托权，特此证明。</w:t>
      </w:r>
    </w:p>
    <w:p w14:paraId="2B6E1034">
      <w:pPr>
        <w:widowControl/>
        <w:snapToGrid w:val="0"/>
        <w:spacing w:line="548" w:lineRule="atLeast"/>
        <w:rPr>
          <w:rFonts w:hint="eastAsia" w:ascii="宋体" w:hAnsi="宋体" w:cs="宋体"/>
          <w:kern w:val="0"/>
          <w:szCs w:val="21"/>
          <w:highlight w:val="none"/>
        </w:rPr>
      </w:pPr>
    </w:p>
    <w:p w14:paraId="387077E1">
      <w:pPr>
        <w:widowControl/>
        <w:snapToGrid w:val="0"/>
        <w:spacing w:line="548" w:lineRule="atLeast"/>
        <w:ind w:firstLine="2520" w:firstLineChars="1200"/>
        <w:rPr>
          <w:rFonts w:hint="eastAsia" w:ascii="宋体" w:hAnsi="宋体" w:cs="宋体"/>
          <w:kern w:val="0"/>
          <w:szCs w:val="21"/>
          <w:highlight w:val="none"/>
          <w:u w:val="single"/>
        </w:rPr>
      </w:pPr>
      <w:r>
        <w:rPr>
          <w:rFonts w:hint="eastAsia" w:ascii="宋体" w:hAnsi="宋体" w:cs="宋体"/>
          <w:kern w:val="0"/>
          <w:szCs w:val="21"/>
          <w:highlight w:val="none"/>
        </w:rPr>
        <w:t>供  应  商：</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（盖单位章）</w:t>
      </w:r>
    </w:p>
    <w:p w14:paraId="4DB3B62C">
      <w:pPr>
        <w:widowControl/>
        <w:snapToGrid w:val="0"/>
        <w:spacing w:line="548" w:lineRule="atLeast"/>
        <w:ind w:firstLine="2520" w:firstLineChars="1200"/>
        <w:rPr>
          <w:rFonts w:hint="eastAsia" w:ascii="宋体" w:hAnsi="宋体" w:cs="宋体"/>
          <w:kern w:val="0"/>
          <w:szCs w:val="21"/>
          <w:highlight w:val="none"/>
          <w:u w:val="single"/>
        </w:rPr>
      </w:pPr>
      <w:r>
        <w:rPr>
          <w:rFonts w:hint="eastAsia" w:ascii="宋体" w:hAnsi="宋体" w:cs="宋体"/>
          <w:kern w:val="0"/>
          <w:szCs w:val="21"/>
          <w:highlight w:val="none"/>
        </w:rPr>
        <w:t>法定代表人：</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（签字或盖章） </w:t>
      </w:r>
    </w:p>
    <w:p w14:paraId="0260A21C">
      <w:pPr>
        <w:widowControl/>
        <w:snapToGrid w:val="0"/>
        <w:spacing w:line="548" w:lineRule="atLeast"/>
        <w:ind w:firstLine="2520" w:firstLineChars="1200"/>
        <w:rPr>
          <w:rFonts w:hint="eastAsia" w:ascii="宋体" w:hAnsi="宋体" w:cs="宋体"/>
          <w:kern w:val="0"/>
          <w:szCs w:val="21"/>
          <w:highlight w:val="none"/>
          <w:u w:val="single"/>
        </w:rPr>
      </w:pPr>
      <w:r>
        <w:rPr>
          <w:rFonts w:hint="eastAsia" w:ascii="宋体" w:hAnsi="宋体" w:cs="宋体"/>
          <w:kern w:val="0"/>
          <w:szCs w:val="21"/>
          <w:highlight w:val="none"/>
        </w:rPr>
        <w:t>法定代表人身份证号码：</w:t>
      </w:r>
      <w:r>
        <w:rPr>
          <w:rFonts w:hint="eastAsia" w:ascii="宋体" w:hAnsi="宋体" w:cs="宋体"/>
          <w:kern w:val="0"/>
          <w:szCs w:val="21"/>
          <w:highlight w:val="none"/>
          <w:u w:val="single"/>
        </w:rPr>
        <w:t xml:space="preserve">                  </w:t>
      </w:r>
    </w:p>
    <w:p w14:paraId="5037C3C5">
      <w:pPr>
        <w:widowControl/>
        <w:snapToGrid w:val="0"/>
        <w:spacing w:line="548" w:lineRule="atLeast"/>
        <w:ind w:firstLine="2520" w:firstLineChars="1200"/>
        <w:rPr>
          <w:rFonts w:hint="eastAsia" w:ascii="宋体" w:hAnsi="宋体" w:cs="宋体"/>
          <w:kern w:val="0"/>
          <w:szCs w:val="21"/>
          <w:highlight w:val="none"/>
          <w:u w:val="single"/>
        </w:rPr>
      </w:pPr>
      <w:r>
        <w:rPr>
          <w:rFonts w:hint="eastAsia" w:ascii="宋体" w:hAnsi="宋体" w:cs="宋体"/>
          <w:kern w:val="0"/>
          <w:szCs w:val="21"/>
          <w:highlight w:val="none"/>
        </w:rPr>
        <w:t>委托代理人：</w:t>
      </w:r>
      <w:r>
        <w:rPr>
          <w:rFonts w:hint="eastAsia" w:ascii="宋体" w:hAnsi="宋体" w:cs="宋体"/>
          <w:kern w:val="0"/>
          <w:szCs w:val="21"/>
          <w:highlight w:val="none"/>
          <w:u w:val="single"/>
        </w:rPr>
        <w:t xml:space="preserve">                </w:t>
      </w:r>
    </w:p>
    <w:p w14:paraId="065E2DDF">
      <w:pPr>
        <w:widowControl/>
        <w:snapToGrid w:val="0"/>
        <w:spacing w:line="548" w:lineRule="atLeast"/>
        <w:ind w:firstLine="2520" w:firstLineChars="1200"/>
        <w:rPr>
          <w:rFonts w:hint="eastAsia" w:ascii="宋体" w:hAnsi="宋体" w:cs="宋体"/>
          <w:kern w:val="0"/>
          <w:szCs w:val="21"/>
          <w:highlight w:val="none"/>
          <w:u w:val="single"/>
        </w:rPr>
      </w:pPr>
      <w:r>
        <w:rPr>
          <w:rFonts w:hint="eastAsia" w:ascii="宋体" w:hAnsi="宋体" w:cs="宋体"/>
          <w:kern w:val="0"/>
          <w:szCs w:val="21"/>
          <w:highlight w:val="none"/>
        </w:rPr>
        <w:t>委托代理人身份证号码：</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w:t>
      </w:r>
    </w:p>
    <w:p w14:paraId="66126B32">
      <w:pPr>
        <w:widowControl/>
        <w:snapToGrid w:val="0"/>
        <w:spacing w:line="548" w:lineRule="atLeast"/>
        <w:ind w:firstLine="3780" w:firstLineChars="1800"/>
        <w:rPr>
          <w:rFonts w:hint="eastAsia" w:ascii="宋体" w:hAnsi="宋体" w:cs="宋体"/>
          <w:kern w:val="0"/>
          <w:szCs w:val="21"/>
          <w:highlight w:val="none"/>
        </w:rPr>
      </w:pPr>
      <w:r>
        <w:rPr>
          <w:rFonts w:hint="eastAsia" w:ascii="宋体" w:hAnsi="宋体" w:cs="宋体"/>
          <w:kern w:val="0"/>
          <w:szCs w:val="21"/>
          <w:highlight w:val="none"/>
          <w:u w:val="single"/>
        </w:rPr>
        <w:t xml:space="preserve">        </w:t>
      </w:r>
      <w:r>
        <w:rPr>
          <w:rFonts w:hint="eastAsia" w:ascii="宋体" w:hAnsi="宋体" w:cs="宋体"/>
          <w:kern w:val="0"/>
          <w:szCs w:val="21"/>
          <w:highlight w:val="none"/>
        </w:rPr>
        <w:t>年</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月</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日 </w:t>
      </w:r>
    </w:p>
    <w:p w14:paraId="6BA75D4A">
      <w:pPr>
        <w:widowControl/>
        <w:tabs>
          <w:tab w:val="left" w:pos="6405"/>
        </w:tabs>
        <w:snapToGrid w:val="0"/>
        <w:spacing w:line="548" w:lineRule="atLeast"/>
        <w:rPr>
          <w:rFonts w:hint="eastAsia" w:ascii="宋体" w:hAnsi="宋体" w:cs="宋体"/>
          <w:kern w:val="0"/>
          <w:szCs w:val="21"/>
          <w:highlight w:val="none"/>
        </w:rPr>
      </w:pPr>
    </w:p>
    <w:p w14:paraId="0EB2D0F4">
      <w:pPr>
        <w:widowControl/>
        <w:snapToGrid w:val="0"/>
        <w:spacing w:line="548" w:lineRule="atLeast"/>
        <w:rPr>
          <w:rFonts w:hint="eastAsia" w:ascii="宋体" w:hAnsi="宋体" w:cs="宋体"/>
          <w:kern w:val="0"/>
          <w:szCs w:val="21"/>
          <w:highlight w:val="none"/>
        </w:rPr>
      </w:pPr>
      <w:r>
        <w:rPr>
          <w:rFonts w:hint="eastAsia" w:ascii="宋体" w:hAnsi="宋体" w:cs="宋体"/>
          <w:kern w:val="0"/>
          <w:szCs w:val="21"/>
          <w:highlight w:val="none"/>
        </w:rPr>
        <w:t>附：委托代理人身份证复印件，加盖单位公章</w:t>
      </w:r>
    </w:p>
    <w:p w14:paraId="7D06D7DC">
      <w:pPr>
        <w:spacing w:line="360" w:lineRule="auto"/>
        <w:jc w:val="center"/>
        <w:rPr>
          <w:rFonts w:hint="eastAsia" w:ascii="宋体" w:hAnsi="宋体" w:cs="宋体"/>
          <w:spacing w:val="8"/>
          <w:szCs w:val="21"/>
          <w:highlight w:val="none"/>
        </w:rPr>
      </w:pPr>
      <w:r>
        <w:rPr>
          <w:rFonts w:hint="eastAsia" w:ascii="宋体" w:hAnsi="宋体" w:cs="宋体"/>
          <w:spacing w:val="8"/>
          <w:szCs w:val="21"/>
          <w:highlight w:val="none"/>
        </w:rPr>
        <w:br w:type="page"/>
      </w:r>
    </w:p>
    <w:p w14:paraId="0A940E1C">
      <w:pPr>
        <w:spacing w:line="360" w:lineRule="auto"/>
        <w:jc w:val="center"/>
        <w:rPr>
          <w:rFonts w:hint="eastAsia" w:ascii="宋体" w:hAnsi="宋体" w:cs="宋体"/>
          <w:b/>
          <w:spacing w:val="8"/>
          <w:szCs w:val="21"/>
          <w:highlight w:val="none"/>
        </w:rPr>
        <w:sectPr>
          <w:footerReference r:id="rId16" w:type="first"/>
          <w:pgSz w:w="11905" w:h="16838"/>
          <w:pgMar w:top="1440" w:right="1803" w:bottom="1440" w:left="1803" w:header="850" w:footer="992" w:gutter="0"/>
          <w:cols w:space="0" w:num="1"/>
          <w:docGrid w:type="lines" w:linePitch="319" w:charSpace="0"/>
        </w:sectPr>
      </w:pPr>
    </w:p>
    <w:p w14:paraId="6CEDECF6">
      <w:pPr>
        <w:numPr>
          <w:ilvl w:val="0"/>
          <w:numId w:val="52"/>
        </w:numPr>
        <w:spacing w:line="360" w:lineRule="auto"/>
        <w:rPr>
          <w:rFonts w:hint="eastAsia" w:ascii="宋体" w:hAnsi="宋体" w:cs="宋体"/>
          <w:b/>
          <w:szCs w:val="21"/>
          <w:highlight w:val="none"/>
        </w:rPr>
      </w:pPr>
      <w:r>
        <w:rPr>
          <w:rFonts w:hint="eastAsia" w:ascii="宋体" w:hAnsi="宋体" w:cs="宋体"/>
          <w:b/>
          <w:szCs w:val="21"/>
          <w:highlight w:val="none"/>
        </w:rPr>
        <w:t>资格审查资料：</w:t>
      </w:r>
    </w:p>
    <w:p w14:paraId="7EA87A52">
      <w:pPr>
        <w:topLinePunct/>
        <w:spacing w:line="440" w:lineRule="exact"/>
        <w:rPr>
          <w:rFonts w:hint="eastAsia" w:ascii="宋体" w:hAnsi="宋体" w:cs="宋体"/>
          <w:b/>
          <w:szCs w:val="21"/>
          <w:highlight w:val="none"/>
        </w:rPr>
      </w:pPr>
      <w:r>
        <w:rPr>
          <w:rFonts w:hint="eastAsia" w:ascii="宋体" w:hAnsi="宋体" w:cs="宋体"/>
          <w:b/>
          <w:szCs w:val="21"/>
          <w:highlight w:val="none"/>
        </w:rPr>
        <w:t>（一）供应商基本情况表</w:t>
      </w:r>
    </w:p>
    <w:tbl>
      <w:tblPr>
        <w:tblStyle w:val="33"/>
        <w:tblW w:w="8940" w:type="dxa"/>
        <w:tblInd w:w="60" w:type="dxa"/>
        <w:tblLayout w:type="fixed"/>
        <w:tblCellMar>
          <w:top w:w="0" w:type="dxa"/>
          <w:left w:w="108" w:type="dxa"/>
          <w:bottom w:w="0" w:type="dxa"/>
          <w:right w:w="108" w:type="dxa"/>
        </w:tblCellMar>
      </w:tblPr>
      <w:tblGrid>
        <w:gridCol w:w="1860"/>
        <w:gridCol w:w="1100"/>
        <w:gridCol w:w="2700"/>
        <w:gridCol w:w="1360"/>
        <w:gridCol w:w="1920"/>
      </w:tblGrid>
      <w:tr w14:paraId="70095A8C">
        <w:tblPrEx>
          <w:tblCellMar>
            <w:top w:w="0" w:type="dxa"/>
            <w:left w:w="108" w:type="dxa"/>
            <w:bottom w:w="0" w:type="dxa"/>
            <w:right w:w="108" w:type="dxa"/>
          </w:tblCellMar>
        </w:tblPrEx>
        <w:trPr>
          <w:trHeight w:val="560" w:hRule="exact"/>
        </w:trPr>
        <w:tc>
          <w:tcPr>
            <w:tcW w:w="1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20699DCB">
            <w:pPr>
              <w:spacing w:before="40"/>
              <w:ind w:left="100"/>
              <w:rPr>
                <w:szCs w:val="21"/>
                <w:highlight w:val="none"/>
              </w:rPr>
            </w:pPr>
            <w:r>
              <w:rPr>
                <w:rFonts w:hint="eastAsia" w:ascii="宋体" w:hAnsi="宋体" w:cs="宋体"/>
                <w:szCs w:val="21"/>
                <w:highlight w:val="none"/>
              </w:rPr>
              <w:t>投标人名称</w:t>
            </w:r>
          </w:p>
        </w:tc>
        <w:tc>
          <w:tcPr>
            <w:tcW w:w="7080" w:type="dxa"/>
            <w:gridSpan w:val="4"/>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ED72DEB">
            <w:pPr>
              <w:rPr>
                <w:szCs w:val="21"/>
                <w:highlight w:val="none"/>
              </w:rPr>
            </w:pPr>
          </w:p>
        </w:tc>
      </w:tr>
      <w:tr w14:paraId="4E96A1C1">
        <w:tblPrEx>
          <w:tblCellMar>
            <w:top w:w="0" w:type="dxa"/>
            <w:left w:w="108" w:type="dxa"/>
            <w:bottom w:w="0" w:type="dxa"/>
            <w:right w:w="108" w:type="dxa"/>
          </w:tblCellMar>
        </w:tblPrEx>
        <w:trPr>
          <w:trHeight w:val="620" w:hRule="exact"/>
        </w:trPr>
        <w:tc>
          <w:tcPr>
            <w:tcW w:w="1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31E3A652">
            <w:pPr>
              <w:spacing w:before="80"/>
              <w:ind w:left="100"/>
              <w:rPr>
                <w:szCs w:val="21"/>
                <w:highlight w:val="none"/>
              </w:rPr>
            </w:pPr>
            <w:r>
              <w:rPr>
                <w:rFonts w:hint="eastAsia" w:ascii="宋体" w:hAnsi="宋体" w:cs="宋体"/>
                <w:szCs w:val="21"/>
                <w:highlight w:val="none"/>
              </w:rPr>
              <w:t>注册地址</w:t>
            </w:r>
          </w:p>
        </w:tc>
        <w:tc>
          <w:tcPr>
            <w:tcW w:w="3800" w:type="dxa"/>
            <w:gridSpan w:val="2"/>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5705C34">
            <w:pPr>
              <w:rPr>
                <w:szCs w:val="21"/>
                <w:highlight w:val="none"/>
              </w:rPr>
            </w:pPr>
          </w:p>
        </w:tc>
        <w:tc>
          <w:tcPr>
            <w:tcW w:w="13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428DE426">
            <w:pPr>
              <w:spacing w:before="80"/>
              <w:ind w:left="100"/>
              <w:rPr>
                <w:szCs w:val="21"/>
                <w:highlight w:val="none"/>
              </w:rPr>
            </w:pPr>
            <w:r>
              <w:rPr>
                <w:rFonts w:hint="eastAsia" w:ascii="宋体" w:hAnsi="宋体" w:cs="宋体"/>
                <w:szCs w:val="21"/>
                <w:highlight w:val="none"/>
              </w:rPr>
              <w:t>成立时间</w:t>
            </w:r>
          </w:p>
        </w:tc>
        <w:tc>
          <w:tcPr>
            <w:tcW w:w="192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5876548E">
            <w:pPr>
              <w:rPr>
                <w:szCs w:val="21"/>
                <w:highlight w:val="none"/>
              </w:rPr>
            </w:pPr>
          </w:p>
        </w:tc>
      </w:tr>
      <w:tr w14:paraId="0279E0E3">
        <w:tblPrEx>
          <w:tblCellMar>
            <w:top w:w="0" w:type="dxa"/>
            <w:left w:w="108" w:type="dxa"/>
            <w:bottom w:w="0" w:type="dxa"/>
            <w:right w:w="108" w:type="dxa"/>
          </w:tblCellMar>
        </w:tblPrEx>
        <w:trPr>
          <w:trHeight w:val="620" w:hRule="exact"/>
        </w:trPr>
        <w:tc>
          <w:tcPr>
            <w:tcW w:w="1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3C83E9C">
            <w:pPr>
              <w:spacing w:before="80"/>
              <w:ind w:left="100"/>
              <w:rPr>
                <w:szCs w:val="21"/>
                <w:highlight w:val="none"/>
              </w:rPr>
            </w:pPr>
            <w:r>
              <w:rPr>
                <w:rFonts w:hint="eastAsia" w:ascii="宋体" w:hAnsi="宋体" w:cs="宋体"/>
                <w:szCs w:val="21"/>
                <w:highlight w:val="none"/>
              </w:rPr>
              <w:t>法定代表人</w:t>
            </w:r>
          </w:p>
        </w:tc>
        <w:tc>
          <w:tcPr>
            <w:tcW w:w="110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3416A3D0">
            <w:pPr>
              <w:spacing w:before="80"/>
              <w:ind w:left="100"/>
              <w:rPr>
                <w:szCs w:val="21"/>
                <w:highlight w:val="none"/>
              </w:rPr>
            </w:pPr>
            <w:r>
              <w:rPr>
                <w:rFonts w:hint="eastAsia" w:ascii="宋体" w:hAnsi="宋体" w:cs="宋体"/>
                <w:szCs w:val="21"/>
                <w:highlight w:val="none"/>
              </w:rPr>
              <w:t>姓名</w:t>
            </w:r>
          </w:p>
        </w:tc>
        <w:tc>
          <w:tcPr>
            <w:tcW w:w="270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3D36FE9B">
            <w:pPr>
              <w:spacing w:before="80"/>
              <w:ind w:left="100"/>
              <w:rPr>
                <w:szCs w:val="21"/>
                <w:highlight w:val="none"/>
              </w:rPr>
            </w:pPr>
          </w:p>
        </w:tc>
        <w:tc>
          <w:tcPr>
            <w:tcW w:w="13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1D25881">
            <w:pPr>
              <w:spacing w:before="80"/>
              <w:rPr>
                <w:szCs w:val="21"/>
                <w:highlight w:val="none"/>
              </w:rPr>
            </w:pPr>
            <w:r>
              <w:rPr>
                <w:rFonts w:hint="eastAsia" w:ascii="宋体" w:hAnsi="宋体" w:cs="宋体"/>
                <w:szCs w:val="21"/>
                <w:highlight w:val="none"/>
              </w:rPr>
              <w:t>电话</w:t>
            </w:r>
          </w:p>
        </w:tc>
        <w:tc>
          <w:tcPr>
            <w:tcW w:w="192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16D8491F">
            <w:pPr>
              <w:rPr>
                <w:szCs w:val="21"/>
                <w:highlight w:val="none"/>
              </w:rPr>
            </w:pPr>
          </w:p>
        </w:tc>
      </w:tr>
      <w:tr w14:paraId="21FF5751">
        <w:tblPrEx>
          <w:tblCellMar>
            <w:top w:w="0" w:type="dxa"/>
            <w:left w:w="108" w:type="dxa"/>
            <w:bottom w:w="0" w:type="dxa"/>
            <w:right w:w="108" w:type="dxa"/>
          </w:tblCellMar>
        </w:tblPrEx>
        <w:trPr>
          <w:trHeight w:val="620" w:hRule="exact"/>
        </w:trPr>
        <w:tc>
          <w:tcPr>
            <w:tcW w:w="1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18B527E7">
            <w:pPr>
              <w:spacing w:before="80"/>
              <w:ind w:left="100"/>
              <w:rPr>
                <w:szCs w:val="21"/>
                <w:highlight w:val="none"/>
              </w:rPr>
            </w:pPr>
            <w:r>
              <w:rPr>
                <w:rFonts w:hint="eastAsia" w:ascii="宋体" w:hAnsi="宋体" w:cs="宋体"/>
                <w:szCs w:val="21"/>
                <w:highlight w:val="none"/>
              </w:rPr>
              <w:t>项目负责人</w:t>
            </w:r>
          </w:p>
        </w:tc>
        <w:tc>
          <w:tcPr>
            <w:tcW w:w="110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78C88EAD">
            <w:pPr>
              <w:spacing w:before="80"/>
              <w:ind w:left="100"/>
              <w:rPr>
                <w:szCs w:val="21"/>
                <w:highlight w:val="none"/>
              </w:rPr>
            </w:pPr>
            <w:r>
              <w:rPr>
                <w:rFonts w:hint="eastAsia" w:ascii="宋体" w:hAnsi="宋体" w:cs="宋体"/>
                <w:szCs w:val="21"/>
                <w:highlight w:val="none"/>
              </w:rPr>
              <w:t>姓名</w:t>
            </w:r>
          </w:p>
        </w:tc>
        <w:tc>
          <w:tcPr>
            <w:tcW w:w="270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15FF2EDF">
            <w:pPr>
              <w:spacing w:before="80"/>
              <w:ind w:left="100"/>
              <w:rPr>
                <w:szCs w:val="21"/>
                <w:highlight w:val="none"/>
              </w:rPr>
            </w:pPr>
          </w:p>
        </w:tc>
        <w:tc>
          <w:tcPr>
            <w:tcW w:w="13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9B5DF59">
            <w:pPr>
              <w:spacing w:before="80"/>
              <w:rPr>
                <w:szCs w:val="21"/>
                <w:highlight w:val="none"/>
              </w:rPr>
            </w:pPr>
            <w:r>
              <w:rPr>
                <w:rFonts w:hint="eastAsia" w:ascii="宋体" w:hAnsi="宋体" w:cs="宋体"/>
                <w:szCs w:val="21"/>
                <w:highlight w:val="none"/>
              </w:rPr>
              <w:t>电话</w:t>
            </w:r>
          </w:p>
        </w:tc>
        <w:tc>
          <w:tcPr>
            <w:tcW w:w="192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139DA63E">
            <w:pPr>
              <w:rPr>
                <w:szCs w:val="21"/>
                <w:highlight w:val="none"/>
              </w:rPr>
            </w:pPr>
          </w:p>
        </w:tc>
      </w:tr>
      <w:tr w14:paraId="098D0639">
        <w:tblPrEx>
          <w:tblCellMar>
            <w:top w:w="0" w:type="dxa"/>
            <w:left w:w="108" w:type="dxa"/>
            <w:bottom w:w="0" w:type="dxa"/>
            <w:right w:w="108" w:type="dxa"/>
          </w:tblCellMar>
        </w:tblPrEx>
        <w:trPr>
          <w:trHeight w:val="600" w:hRule="exact"/>
        </w:trPr>
        <w:tc>
          <w:tcPr>
            <w:tcW w:w="1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5BC57A24">
            <w:pPr>
              <w:spacing w:before="80"/>
              <w:ind w:left="100"/>
              <w:rPr>
                <w:szCs w:val="21"/>
                <w:highlight w:val="none"/>
              </w:rPr>
            </w:pPr>
            <w:r>
              <w:rPr>
                <w:rFonts w:hint="eastAsia" w:ascii="宋体" w:hAnsi="宋体" w:cs="宋体"/>
                <w:szCs w:val="21"/>
                <w:highlight w:val="none"/>
              </w:rPr>
              <w:t>注册资金</w:t>
            </w:r>
          </w:p>
        </w:tc>
        <w:tc>
          <w:tcPr>
            <w:tcW w:w="7080" w:type="dxa"/>
            <w:gridSpan w:val="4"/>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41EBAE5D">
            <w:pPr>
              <w:rPr>
                <w:szCs w:val="21"/>
                <w:highlight w:val="none"/>
              </w:rPr>
            </w:pPr>
          </w:p>
        </w:tc>
      </w:tr>
      <w:tr w14:paraId="00BECB93">
        <w:tblPrEx>
          <w:tblCellMar>
            <w:top w:w="0" w:type="dxa"/>
            <w:left w:w="108" w:type="dxa"/>
            <w:bottom w:w="0" w:type="dxa"/>
            <w:right w:w="108" w:type="dxa"/>
          </w:tblCellMar>
        </w:tblPrEx>
        <w:trPr>
          <w:trHeight w:val="620" w:hRule="exact"/>
        </w:trPr>
        <w:tc>
          <w:tcPr>
            <w:tcW w:w="1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234636C">
            <w:pPr>
              <w:spacing w:before="80"/>
              <w:ind w:left="100"/>
              <w:rPr>
                <w:szCs w:val="21"/>
                <w:highlight w:val="none"/>
              </w:rPr>
            </w:pPr>
            <w:r>
              <w:rPr>
                <w:rFonts w:hint="eastAsia"/>
                <w:szCs w:val="21"/>
                <w:highlight w:val="none"/>
              </w:rPr>
              <w:t>纳税识别号</w:t>
            </w:r>
          </w:p>
        </w:tc>
        <w:tc>
          <w:tcPr>
            <w:tcW w:w="7080" w:type="dxa"/>
            <w:gridSpan w:val="4"/>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2ED6C7E1">
            <w:pPr>
              <w:rPr>
                <w:szCs w:val="21"/>
                <w:highlight w:val="none"/>
              </w:rPr>
            </w:pPr>
          </w:p>
        </w:tc>
      </w:tr>
      <w:tr w14:paraId="7E6D5566">
        <w:tblPrEx>
          <w:tblCellMar>
            <w:top w:w="0" w:type="dxa"/>
            <w:left w:w="108" w:type="dxa"/>
            <w:bottom w:w="0" w:type="dxa"/>
            <w:right w:w="108" w:type="dxa"/>
          </w:tblCellMar>
        </w:tblPrEx>
        <w:trPr>
          <w:trHeight w:val="620" w:hRule="exact"/>
        </w:trPr>
        <w:tc>
          <w:tcPr>
            <w:tcW w:w="1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1DFE8FE1">
            <w:pPr>
              <w:spacing w:before="80"/>
              <w:ind w:left="100"/>
              <w:rPr>
                <w:rFonts w:hint="eastAsia" w:eastAsia="宋体"/>
                <w:szCs w:val="21"/>
                <w:highlight w:val="none"/>
                <w:lang w:eastAsia="zh-CN"/>
              </w:rPr>
            </w:pPr>
            <w:r>
              <w:rPr>
                <w:rFonts w:hint="eastAsia"/>
                <w:szCs w:val="21"/>
                <w:highlight w:val="none"/>
                <w:lang w:eastAsia="zh-CN"/>
              </w:rPr>
              <w:t>基本户开户行</w:t>
            </w:r>
          </w:p>
        </w:tc>
        <w:tc>
          <w:tcPr>
            <w:tcW w:w="7080" w:type="dxa"/>
            <w:gridSpan w:val="4"/>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9F0FD36">
            <w:pPr>
              <w:rPr>
                <w:szCs w:val="21"/>
                <w:highlight w:val="none"/>
              </w:rPr>
            </w:pPr>
          </w:p>
        </w:tc>
      </w:tr>
      <w:tr w14:paraId="17932B43">
        <w:tblPrEx>
          <w:tblCellMar>
            <w:top w:w="0" w:type="dxa"/>
            <w:left w:w="108" w:type="dxa"/>
            <w:bottom w:w="0" w:type="dxa"/>
            <w:right w:w="108" w:type="dxa"/>
          </w:tblCellMar>
        </w:tblPrEx>
        <w:trPr>
          <w:trHeight w:val="620" w:hRule="exact"/>
        </w:trPr>
        <w:tc>
          <w:tcPr>
            <w:tcW w:w="1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1F03A4BD">
            <w:pPr>
              <w:spacing w:before="80"/>
              <w:ind w:left="100"/>
              <w:rPr>
                <w:rFonts w:hint="eastAsia" w:eastAsia="宋体"/>
                <w:szCs w:val="21"/>
                <w:highlight w:val="none"/>
                <w:lang w:eastAsia="zh-CN"/>
              </w:rPr>
            </w:pPr>
            <w:r>
              <w:rPr>
                <w:rFonts w:hint="eastAsia"/>
                <w:szCs w:val="21"/>
                <w:highlight w:val="none"/>
                <w:lang w:eastAsia="zh-CN"/>
              </w:rPr>
              <w:t>基本户开户行账号</w:t>
            </w:r>
          </w:p>
        </w:tc>
        <w:tc>
          <w:tcPr>
            <w:tcW w:w="7080" w:type="dxa"/>
            <w:gridSpan w:val="4"/>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292E50AA">
            <w:pPr>
              <w:rPr>
                <w:szCs w:val="21"/>
                <w:highlight w:val="none"/>
              </w:rPr>
            </w:pPr>
          </w:p>
        </w:tc>
      </w:tr>
      <w:tr w14:paraId="59046129">
        <w:tblPrEx>
          <w:tblCellMar>
            <w:top w:w="0" w:type="dxa"/>
            <w:left w:w="108" w:type="dxa"/>
            <w:bottom w:w="0" w:type="dxa"/>
            <w:right w:w="108" w:type="dxa"/>
          </w:tblCellMar>
        </w:tblPrEx>
        <w:trPr>
          <w:trHeight w:val="960" w:hRule="exact"/>
        </w:trPr>
        <w:tc>
          <w:tcPr>
            <w:tcW w:w="1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32947FCC">
            <w:pPr>
              <w:spacing w:before="100"/>
              <w:ind w:left="100"/>
              <w:rPr>
                <w:szCs w:val="21"/>
                <w:highlight w:val="none"/>
              </w:rPr>
            </w:pPr>
            <w:r>
              <w:rPr>
                <w:rFonts w:hint="eastAsia" w:ascii="宋体" w:hAnsi="宋体" w:cs="宋体"/>
                <w:szCs w:val="21"/>
                <w:highlight w:val="none"/>
              </w:rPr>
              <w:t>企业办公</w:t>
            </w:r>
          </w:p>
          <w:p w14:paraId="05F79433">
            <w:pPr>
              <w:spacing w:before="20"/>
              <w:ind w:left="100"/>
              <w:rPr>
                <w:szCs w:val="21"/>
                <w:highlight w:val="none"/>
              </w:rPr>
            </w:pPr>
            <w:r>
              <w:rPr>
                <w:rFonts w:hint="eastAsia" w:ascii="宋体" w:hAnsi="宋体" w:cs="宋体"/>
                <w:szCs w:val="21"/>
                <w:highlight w:val="none"/>
              </w:rPr>
              <w:t>场所面积</w:t>
            </w:r>
          </w:p>
        </w:tc>
        <w:tc>
          <w:tcPr>
            <w:tcW w:w="7080" w:type="dxa"/>
            <w:gridSpan w:val="4"/>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5FD1467">
            <w:pPr>
              <w:rPr>
                <w:szCs w:val="21"/>
                <w:highlight w:val="none"/>
              </w:rPr>
            </w:pPr>
          </w:p>
        </w:tc>
      </w:tr>
      <w:tr w14:paraId="5215BEA0">
        <w:tblPrEx>
          <w:tblCellMar>
            <w:top w:w="0" w:type="dxa"/>
            <w:left w:w="108" w:type="dxa"/>
            <w:bottom w:w="0" w:type="dxa"/>
            <w:right w:w="108" w:type="dxa"/>
          </w:tblCellMar>
        </w:tblPrEx>
        <w:trPr>
          <w:trHeight w:val="1140" w:hRule="exact"/>
        </w:trPr>
        <w:tc>
          <w:tcPr>
            <w:tcW w:w="1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18104AC2">
            <w:pPr>
              <w:spacing w:before="360"/>
              <w:ind w:left="100"/>
              <w:rPr>
                <w:szCs w:val="21"/>
                <w:highlight w:val="none"/>
              </w:rPr>
            </w:pPr>
            <w:r>
              <w:rPr>
                <w:rFonts w:hint="eastAsia" w:ascii="宋体" w:hAnsi="宋体" w:cs="宋体"/>
                <w:szCs w:val="21"/>
                <w:highlight w:val="none"/>
              </w:rPr>
              <w:t>经营范围</w:t>
            </w:r>
          </w:p>
        </w:tc>
        <w:tc>
          <w:tcPr>
            <w:tcW w:w="7080" w:type="dxa"/>
            <w:gridSpan w:val="4"/>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4410C300">
            <w:pPr>
              <w:rPr>
                <w:szCs w:val="21"/>
                <w:highlight w:val="none"/>
              </w:rPr>
            </w:pPr>
          </w:p>
        </w:tc>
      </w:tr>
      <w:tr w14:paraId="502AFB1F">
        <w:tblPrEx>
          <w:tblCellMar>
            <w:top w:w="0" w:type="dxa"/>
            <w:left w:w="108" w:type="dxa"/>
            <w:bottom w:w="0" w:type="dxa"/>
            <w:right w:w="108" w:type="dxa"/>
          </w:tblCellMar>
        </w:tblPrEx>
        <w:trPr>
          <w:trHeight w:val="1270" w:hRule="exact"/>
        </w:trPr>
        <w:tc>
          <w:tcPr>
            <w:tcW w:w="8940" w:type="dxa"/>
            <w:gridSpan w:val="5"/>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16D04D1C">
            <w:pPr>
              <w:rPr>
                <w:szCs w:val="21"/>
                <w:highlight w:val="none"/>
              </w:rPr>
            </w:pPr>
            <w:r>
              <w:rPr>
                <w:rFonts w:hint="eastAsia" w:ascii="宋体" w:hAnsi="宋体" w:cs="宋体"/>
                <w:szCs w:val="21"/>
                <w:highlight w:val="none"/>
              </w:rPr>
              <w:t>员工总人数（  人）</w:t>
            </w:r>
          </w:p>
        </w:tc>
      </w:tr>
      <w:tr w14:paraId="30780D14">
        <w:tblPrEx>
          <w:tblCellMar>
            <w:top w:w="0" w:type="dxa"/>
            <w:left w:w="108" w:type="dxa"/>
            <w:bottom w:w="0" w:type="dxa"/>
            <w:right w:w="108" w:type="dxa"/>
          </w:tblCellMar>
        </w:tblPrEx>
        <w:trPr>
          <w:trHeight w:val="2000" w:hRule="exact"/>
        </w:trPr>
        <w:tc>
          <w:tcPr>
            <w:tcW w:w="1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7BF4E126">
            <w:pPr>
              <w:spacing w:before="760"/>
              <w:ind w:left="100"/>
              <w:rPr>
                <w:szCs w:val="21"/>
                <w:highlight w:val="none"/>
              </w:rPr>
            </w:pPr>
            <w:r>
              <w:rPr>
                <w:rFonts w:hint="eastAsia" w:ascii="宋体" w:hAnsi="宋体" w:cs="宋体"/>
                <w:szCs w:val="21"/>
                <w:highlight w:val="none"/>
              </w:rPr>
              <w:t>备注</w:t>
            </w:r>
          </w:p>
        </w:tc>
        <w:tc>
          <w:tcPr>
            <w:tcW w:w="7080" w:type="dxa"/>
            <w:gridSpan w:val="4"/>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7C6E59CD">
            <w:pPr>
              <w:rPr>
                <w:szCs w:val="21"/>
                <w:highlight w:val="none"/>
              </w:rPr>
            </w:pPr>
          </w:p>
        </w:tc>
      </w:tr>
    </w:tbl>
    <w:p w14:paraId="03E63361">
      <w:pPr>
        <w:pStyle w:val="17"/>
        <w:rPr>
          <w:rFonts w:hint="eastAsia" w:hAnsi="宋体" w:cs="宋体"/>
          <w:szCs w:val="21"/>
          <w:highlight w:val="none"/>
        </w:rPr>
      </w:pPr>
    </w:p>
    <w:p w14:paraId="48AF903F">
      <w:pPr>
        <w:rPr>
          <w:rFonts w:hint="eastAsia" w:ascii="宋体" w:hAnsi="宋体" w:cs="宋体"/>
          <w:b/>
          <w:szCs w:val="21"/>
          <w:highlight w:val="none"/>
        </w:rPr>
      </w:pPr>
      <w:r>
        <w:rPr>
          <w:rFonts w:hint="eastAsia" w:ascii="宋体" w:hAnsi="宋体" w:cs="宋体"/>
          <w:b/>
          <w:szCs w:val="21"/>
          <w:highlight w:val="none"/>
        </w:rPr>
        <w:br w:type="page"/>
      </w:r>
    </w:p>
    <w:p w14:paraId="123DA931">
      <w:pPr>
        <w:spacing w:line="360" w:lineRule="auto"/>
        <w:rPr>
          <w:rFonts w:hint="eastAsia" w:ascii="宋体" w:hAnsi="宋体" w:cs="宋体"/>
          <w:b/>
          <w:bCs/>
          <w:szCs w:val="21"/>
          <w:highlight w:val="none"/>
        </w:rPr>
      </w:pPr>
      <w:r>
        <w:rPr>
          <w:rFonts w:hint="eastAsia" w:ascii="宋体" w:hAnsi="宋体" w:cs="宋体"/>
          <w:b/>
          <w:bCs/>
          <w:szCs w:val="21"/>
          <w:highlight w:val="none"/>
        </w:rPr>
        <w:t>（二）供应商资格声明函</w:t>
      </w:r>
    </w:p>
    <w:p w14:paraId="62906A48">
      <w:pPr>
        <w:spacing w:line="360" w:lineRule="auto"/>
        <w:rPr>
          <w:rFonts w:hint="eastAsia" w:ascii="宋体" w:hAnsi="宋体" w:cs="宋体"/>
          <w:szCs w:val="21"/>
          <w:highlight w:val="none"/>
        </w:rPr>
      </w:pPr>
    </w:p>
    <w:p w14:paraId="594A2FCF">
      <w:pPr>
        <w:spacing w:line="360" w:lineRule="auto"/>
        <w:rPr>
          <w:rFonts w:hint="eastAsia" w:ascii="宋体" w:hAnsi="宋体" w:cs="宋体"/>
          <w:szCs w:val="21"/>
          <w:highlight w:val="none"/>
        </w:rPr>
      </w:pPr>
      <w:r>
        <w:rPr>
          <w:rFonts w:hint="eastAsia" w:ascii="宋体" w:hAnsi="宋体" w:cs="宋体"/>
          <w:szCs w:val="21"/>
          <w:highlight w:val="none"/>
        </w:rPr>
        <w:t>致：</w:t>
      </w:r>
      <w:r>
        <w:rPr>
          <w:rFonts w:hint="eastAsia" w:ascii="宋体" w:hAnsi="宋体" w:cs="宋体"/>
          <w:szCs w:val="21"/>
          <w:highlight w:val="none"/>
          <w:u w:val="single"/>
        </w:rPr>
        <w:t xml:space="preserve">                </w:t>
      </w:r>
      <w:r>
        <w:rPr>
          <w:rFonts w:hint="eastAsia" w:ascii="宋体" w:hAnsi="宋体" w:cs="宋体"/>
          <w:szCs w:val="21"/>
          <w:highlight w:val="none"/>
        </w:rPr>
        <w:t>（采购人名称）</w:t>
      </w:r>
    </w:p>
    <w:p w14:paraId="0E19085F">
      <w:pPr>
        <w:spacing w:line="360" w:lineRule="auto"/>
        <w:ind w:firstLine="450"/>
        <w:rPr>
          <w:rFonts w:hint="eastAsia" w:ascii="宋体" w:hAnsi="宋体" w:cs="宋体"/>
          <w:szCs w:val="21"/>
          <w:highlight w:val="none"/>
        </w:rPr>
      </w:pPr>
      <w:r>
        <w:rPr>
          <w:rFonts w:hint="eastAsia" w:ascii="宋体" w:hAnsi="宋体" w:cs="宋体"/>
          <w:szCs w:val="21"/>
          <w:highlight w:val="none"/>
        </w:rPr>
        <w:t>本公司愿意参加询比，提供采购内容中规定的内容，并声明提交的下列文件是准确的和真实的。</w:t>
      </w:r>
    </w:p>
    <w:p w14:paraId="7162D4C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1.供应商基本情况</w:t>
      </w:r>
    </w:p>
    <w:p w14:paraId="77893C2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2.资格证明资料</w:t>
      </w:r>
    </w:p>
    <w:p w14:paraId="25C4D6B4">
      <w:pPr>
        <w:spacing w:line="360" w:lineRule="auto"/>
        <w:ind w:firstLine="420" w:firstLineChars="200"/>
        <w:rPr>
          <w:rFonts w:hint="eastAsia" w:ascii="宋体" w:hAnsi="宋体" w:cs="宋体"/>
          <w:szCs w:val="21"/>
          <w:highlight w:val="none"/>
          <w:lang w:eastAsia="zh-CN"/>
        </w:rPr>
      </w:pPr>
      <w:r>
        <w:rPr>
          <w:rFonts w:hint="eastAsia" w:ascii="宋体" w:hAnsi="宋体" w:cs="宋体"/>
          <w:szCs w:val="21"/>
          <w:highlight w:val="none"/>
        </w:rPr>
        <w:t>我方在此声明，我方具备并满足</w:t>
      </w:r>
      <w:r>
        <w:rPr>
          <w:rFonts w:hint="eastAsia" w:ascii="宋体" w:hAnsi="宋体" w:cs="宋体"/>
          <w:szCs w:val="21"/>
          <w:highlight w:val="none"/>
          <w:lang w:eastAsia="zh-CN"/>
        </w:rPr>
        <w:t>：</w:t>
      </w:r>
    </w:p>
    <w:p w14:paraId="052F47F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（1）具有独立承担民事责任的能力；</w:t>
      </w:r>
    </w:p>
    <w:p w14:paraId="69C4559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（2）具有良好的商业信誉和健全的财务会计制度；</w:t>
      </w:r>
    </w:p>
    <w:p w14:paraId="67EFA82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（3）具有履行合同所必需的设备和专业技术能力；</w:t>
      </w:r>
    </w:p>
    <w:p w14:paraId="2D1673A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（4）有依法缴纳税收和社会保障资金的良好记录；</w:t>
      </w:r>
    </w:p>
    <w:p w14:paraId="033FD44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（5）参加本次政府采购活动前三年内，在经营活动中没有重大违法记录。</w:t>
      </w:r>
    </w:p>
    <w:p w14:paraId="44D875C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3.遵守《中华人民共和国民法典》等国家有关法律、法规、规章，严格履行法定职责，近3年内没有违法、违规执业记录及行业处罚情况；</w:t>
      </w:r>
    </w:p>
    <w:p w14:paraId="365F5018">
      <w:pPr>
        <w:spacing w:line="360" w:lineRule="auto"/>
        <w:ind w:firstLine="420" w:firstLineChars="200"/>
        <w:rPr>
          <w:rFonts w:hint="eastAsia" w:ascii="宋体" w:hAnsi="宋体"/>
          <w:szCs w:val="21"/>
          <w:highlight w:val="none"/>
        </w:rPr>
      </w:pPr>
      <w:r>
        <w:rPr>
          <w:rFonts w:hint="eastAsia" w:ascii="宋体" w:hAnsi="宋体" w:cs="宋体"/>
          <w:szCs w:val="21"/>
          <w:highlight w:val="none"/>
        </w:rPr>
        <w:t>4.拥有与服务需求相匹配的相关</w:t>
      </w:r>
      <w:r>
        <w:rPr>
          <w:rFonts w:hint="eastAsia" w:ascii="宋体" w:hAnsi="宋体" w:cs="宋体"/>
          <w:szCs w:val="21"/>
          <w:highlight w:val="none"/>
          <w:lang w:val="en-US" w:eastAsia="zh-CN"/>
        </w:rPr>
        <w:t>服务</w:t>
      </w:r>
      <w:r>
        <w:rPr>
          <w:rFonts w:hint="eastAsia" w:ascii="宋体" w:hAnsi="宋体" w:cs="宋体"/>
          <w:szCs w:val="21"/>
          <w:highlight w:val="none"/>
        </w:rPr>
        <w:t>经验；</w:t>
      </w:r>
    </w:p>
    <w:p w14:paraId="5C5F2956">
      <w:pPr>
        <w:spacing w:line="360" w:lineRule="auto"/>
        <w:ind w:firstLine="420" w:firstLineChars="200"/>
        <w:rPr>
          <w:rFonts w:hint="eastAsia" w:ascii="宋体" w:hAnsi="宋体"/>
          <w:szCs w:val="21"/>
          <w:highlight w:val="none"/>
        </w:rPr>
      </w:pPr>
      <w:r>
        <w:rPr>
          <w:rFonts w:hint="eastAsia" w:ascii="宋体" w:hAnsi="宋体"/>
          <w:szCs w:val="21"/>
          <w:highlight w:val="none"/>
        </w:rPr>
        <w:t>5.我方不存在供应商负责人为同一人或者存在控股、管理关系的不同单位，参加同一项目询比采购，未向</w:t>
      </w:r>
      <w:r>
        <w:rPr>
          <w:rFonts w:hint="eastAsia" w:ascii="宋体" w:hAnsi="宋体"/>
          <w:szCs w:val="21"/>
          <w:highlight w:val="none"/>
          <w:lang w:eastAsia="zh-CN"/>
        </w:rPr>
        <w:t>河南产业互联网联合发展有限公司</w:t>
      </w:r>
      <w:r>
        <w:rPr>
          <w:rFonts w:hint="eastAsia" w:ascii="宋体" w:hAnsi="宋体"/>
          <w:szCs w:val="21"/>
          <w:highlight w:val="none"/>
        </w:rPr>
        <w:t>及控股子公司提供过与本次法律顾问服务存在利益冲突的其他法律服务（如对立方代理等）；</w:t>
      </w:r>
    </w:p>
    <w:p w14:paraId="663C0001">
      <w:pPr>
        <w:spacing w:line="360" w:lineRule="auto"/>
        <w:ind w:firstLine="420" w:firstLineChars="200"/>
        <w:jc w:val="both"/>
        <w:rPr>
          <w:rFonts w:hint="eastAsia" w:ascii="宋体" w:hAnsi="宋体" w:cs="宋体"/>
          <w:spacing w:val="8"/>
          <w:szCs w:val="21"/>
          <w:highlight w:val="none"/>
        </w:rPr>
      </w:pPr>
      <w:r>
        <w:rPr>
          <w:rFonts w:hint="eastAsia" w:ascii="宋体" w:hAnsi="宋体" w:cs="宋体"/>
          <w:szCs w:val="21"/>
          <w:highlight w:val="none"/>
        </w:rPr>
        <w:t>6.我方非联合体参与本项目。</w:t>
      </w:r>
    </w:p>
    <w:p w14:paraId="0D02D8E4">
      <w:pPr>
        <w:spacing w:line="360" w:lineRule="auto"/>
        <w:ind w:firstLine="2480"/>
        <w:jc w:val="right"/>
        <w:rPr>
          <w:rFonts w:hint="eastAsia" w:ascii="宋体" w:hAnsi="宋体" w:cs="宋体"/>
          <w:spacing w:val="8"/>
          <w:szCs w:val="21"/>
          <w:highlight w:val="none"/>
        </w:rPr>
      </w:pPr>
      <w:r>
        <w:rPr>
          <w:rFonts w:hint="eastAsia" w:ascii="宋体" w:hAnsi="宋体" w:cs="宋体"/>
          <w:spacing w:val="8"/>
          <w:szCs w:val="21"/>
          <w:highlight w:val="none"/>
        </w:rPr>
        <w:t>供应商：</w:t>
      </w:r>
      <w:r>
        <w:rPr>
          <w:rFonts w:hint="eastAsia" w:ascii="宋体" w:hAnsi="宋体" w:cs="宋体"/>
          <w:spacing w:val="8"/>
          <w:szCs w:val="21"/>
          <w:highlight w:val="none"/>
          <w:u w:val="single"/>
        </w:rPr>
        <w:t xml:space="preserve">                              （盖章）</w:t>
      </w:r>
    </w:p>
    <w:p w14:paraId="41475A46">
      <w:pPr>
        <w:spacing w:line="360" w:lineRule="auto"/>
        <w:ind w:firstLine="1695" w:firstLineChars="750"/>
        <w:jc w:val="right"/>
        <w:rPr>
          <w:rFonts w:hint="eastAsia" w:ascii="宋体" w:hAnsi="宋体" w:cs="宋体"/>
          <w:spacing w:val="8"/>
          <w:szCs w:val="21"/>
          <w:highlight w:val="none"/>
        </w:rPr>
      </w:pPr>
      <w:r>
        <w:rPr>
          <w:rFonts w:hint="eastAsia" w:ascii="宋体" w:hAnsi="宋体" w:cs="宋体"/>
          <w:spacing w:val="8"/>
          <w:szCs w:val="21"/>
          <w:highlight w:val="none"/>
        </w:rPr>
        <w:t>法定代表人或其委托代理人：</w:t>
      </w:r>
      <w:r>
        <w:rPr>
          <w:rFonts w:hint="eastAsia" w:ascii="宋体" w:hAnsi="宋体" w:cs="宋体"/>
          <w:spacing w:val="8"/>
          <w:szCs w:val="21"/>
          <w:highlight w:val="none"/>
          <w:u w:val="single"/>
        </w:rPr>
        <w:t xml:space="preserve">          （签字或盖章）</w:t>
      </w:r>
    </w:p>
    <w:p w14:paraId="695F1927">
      <w:pPr>
        <w:spacing w:line="360" w:lineRule="auto"/>
        <w:jc w:val="center"/>
        <w:rPr>
          <w:rFonts w:hint="eastAsia" w:ascii="宋体" w:hAnsi="宋体" w:cs="宋体"/>
          <w:spacing w:val="8"/>
          <w:szCs w:val="21"/>
          <w:highlight w:val="none"/>
        </w:rPr>
      </w:pPr>
      <w:r>
        <w:rPr>
          <w:rFonts w:hint="eastAsia" w:ascii="宋体" w:hAnsi="宋体" w:cs="宋体"/>
          <w:spacing w:val="8"/>
          <w:szCs w:val="21"/>
          <w:highlight w:val="none"/>
        </w:rPr>
        <w:t xml:space="preserve">                   日  期：</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年</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月</w:t>
      </w:r>
      <w:r>
        <w:rPr>
          <w:rFonts w:hint="eastAsia" w:ascii="宋体" w:hAnsi="宋体" w:cs="宋体"/>
          <w:spacing w:val="8"/>
          <w:szCs w:val="21"/>
          <w:highlight w:val="none"/>
          <w:u w:val="single"/>
        </w:rPr>
        <w:t xml:space="preserve">     </w:t>
      </w:r>
      <w:r>
        <w:rPr>
          <w:rFonts w:hint="eastAsia" w:ascii="宋体" w:hAnsi="宋体" w:cs="宋体"/>
          <w:spacing w:val="8"/>
          <w:szCs w:val="21"/>
          <w:highlight w:val="none"/>
        </w:rPr>
        <w:t>日</w:t>
      </w:r>
    </w:p>
    <w:p w14:paraId="0054D253">
      <w:pPr>
        <w:spacing w:line="360" w:lineRule="auto"/>
        <w:ind w:firstLine="3162" w:firstLineChars="1500"/>
        <w:rPr>
          <w:rFonts w:hint="eastAsia" w:ascii="宋体" w:hAnsi="宋体" w:cs="宋体"/>
          <w:b/>
          <w:bCs/>
          <w:szCs w:val="21"/>
          <w:highlight w:val="none"/>
        </w:rPr>
      </w:pPr>
      <w:r>
        <w:rPr>
          <w:rFonts w:hint="eastAsia" w:ascii="宋体" w:hAnsi="宋体" w:cs="宋体"/>
          <w:b/>
          <w:bCs/>
          <w:szCs w:val="21"/>
          <w:highlight w:val="none"/>
        </w:rPr>
        <w:br w:type="page"/>
      </w:r>
    </w:p>
    <w:p w14:paraId="4961042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1</w:t>
      </w:r>
      <w:r>
        <w:rPr>
          <w:rFonts w:hint="eastAsia" w:ascii="宋体" w:hAnsi="宋体" w:cs="宋体"/>
          <w:szCs w:val="21"/>
          <w:highlight w:val="none"/>
          <w:lang w:eastAsia="zh-CN"/>
        </w:rPr>
        <w:t>）供应商</w:t>
      </w:r>
      <w:r>
        <w:rPr>
          <w:rFonts w:hint="eastAsia" w:ascii="宋体" w:hAnsi="宋体" w:cs="宋体"/>
          <w:szCs w:val="21"/>
          <w:highlight w:val="none"/>
        </w:rPr>
        <w:t>为具有独立承担民事责任能力的法人或其他组织，须出具合法有效的企业法人营业执照、或事业单位法人证书、或登记证、或组织机构代码证等相关证明，提供相关证明的扫描件/复印件；</w:t>
      </w:r>
    </w:p>
    <w:p w14:paraId="285BA8D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lang w:val="en-US" w:eastAsia="zh-CN"/>
        </w:rPr>
        <w:t>（2）</w:t>
      </w:r>
      <w:r>
        <w:rPr>
          <w:rFonts w:hint="eastAsia" w:ascii="宋体" w:hAnsi="宋体" w:cs="宋体"/>
          <w:szCs w:val="21"/>
          <w:highlight w:val="none"/>
          <w:lang w:eastAsia="zh-CN"/>
        </w:rPr>
        <w:t>供应商</w:t>
      </w:r>
      <w:r>
        <w:rPr>
          <w:rFonts w:hint="eastAsia" w:ascii="宋体" w:hAnsi="宋体" w:cs="宋体"/>
          <w:szCs w:val="21"/>
          <w:highlight w:val="none"/>
        </w:rPr>
        <w:t>须能够提供增值税专用发票(提供承诺书)；</w:t>
      </w:r>
    </w:p>
    <w:p w14:paraId="68B4361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lang w:val="en-US" w:eastAsia="zh-CN"/>
        </w:rPr>
        <w:t>（3）</w:t>
      </w:r>
      <w:r>
        <w:rPr>
          <w:rFonts w:hint="eastAsia" w:ascii="宋体" w:hAnsi="宋体" w:cs="宋体"/>
          <w:szCs w:val="21"/>
          <w:highlight w:val="none"/>
          <w:lang w:eastAsia="zh-CN"/>
        </w:rPr>
        <w:t>供应商</w:t>
      </w:r>
      <w:r>
        <w:rPr>
          <w:rFonts w:hint="eastAsia" w:ascii="宋体" w:hAnsi="宋体" w:cs="宋体"/>
          <w:szCs w:val="21"/>
          <w:highlight w:val="none"/>
        </w:rPr>
        <w:t>须提供2023年1月1日以来签订的</w:t>
      </w:r>
      <w:r>
        <w:rPr>
          <w:rFonts w:hint="eastAsia" w:ascii="宋体" w:hAnsi="宋体" w:cs="宋体"/>
          <w:szCs w:val="21"/>
          <w:highlight w:val="none"/>
          <w:lang w:eastAsia="zh-CN"/>
        </w:rPr>
        <w:t>软件开发项目</w:t>
      </w:r>
      <w:r>
        <w:rPr>
          <w:rFonts w:hint="eastAsia" w:ascii="宋体" w:hAnsi="宋体" w:cs="宋体"/>
          <w:szCs w:val="21"/>
          <w:highlight w:val="none"/>
        </w:rPr>
        <w:t>案例1个，金额不低于</w:t>
      </w:r>
      <w:r>
        <w:rPr>
          <w:rFonts w:hint="eastAsia" w:ascii="宋体" w:hAnsi="宋体" w:cs="宋体"/>
          <w:szCs w:val="21"/>
          <w:highlight w:val="none"/>
          <w:lang w:val="en-US" w:eastAsia="zh-CN"/>
        </w:rPr>
        <w:t>20万</w:t>
      </w:r>
      <w:r>
        <w:rPr>
          <w:rFonts w:hint="eastAsia" w:ascii="宋体" w:hAnsi="宋体" w:cs="宋体"/>
          <w:szCs w:val="21"/>
          <w:highlight w:val="none"/>
        </w:rPr>
        <w:t>元，提供合同（或框架协议）关键页扫描件/复印件，包括但不限于合同（或框架协议）首页、服务内容页、金额页、签字盖章页等，业绩金额以合同（框架协议业绩金额以2023年1月1日之后订单）对应的结算发票金额为准，提供发票扫描件及发票在网上税务系统（https://inv-veri.chinatax.gov.cn/）查询截图，证明材料须清晰完整；</w:t>
      </w:r>
    </w:p>
    <w:p w14:paraId="6C0C83E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lang w:val="en-US" w:eastAsia="zh-CN"/>
        </w:rPr>
        <w:t>（4）</w:t>
      </w:r>
      <w:r>
        <w:rPr>
          <w:rFonts w:hint="eastAsia" w:ascii="宋体" w:hAnsi="宋体" w:cs="宋体"/>
          <w:szCs w:val="21"/>
          <w:highlight w:val="none"/>
        </w:rPr>
        <w:t>本项目不允许联合体应答，中选后不得转包；(提供承诺书)</w:t>
      </w:r>
    </w:p>
    <w:p w14:paraId="2EA846AD">
      <w:pPr>
        <w:spacing w:line="360" w:lineRule="auto"/>
        <w:ind w:firstLine="420" w:firstLineChars="200"/>
        <w:rPr>
          <w:rFonts w:hint="eastAsia" w:ascii="宋体" w:hAnsi="宋体" w:cs="宋体"/>
          <w:szCs w:val="21"/>
          <w:highlight w:val="none"/>
          <w:lang w:val="en-US" w:eastAsia="zh-CN"/>
        </w:rPr>
      </w:pPr>
      <w:r>
        <w:rPr>
          <w:rFonts w:hint="eastAsia" w:ascii="宋体" w:hAnsi="宋体" w:cs="宋体"/>
          <w:szCs w:val="21"/>
          <w:highlight w:val="none"/>
          <w:lang w:val="en-US" w:eastAsia="zh-CN"/>
        </w:rPr>
        <w:t>（5）对在“国家企业信用信息公示系统”中被列入“经营异常名录”、“严重违法失信名单”的供应商，对在“信用中国”网站(www.creditchina.gov.cn)中被列入“失信被执行人”、“重大税收违法失信主体”、“政府采购严重违法失信行为记录名单”的供应商，拒绝其参与本项目应答活动；</w:t>
      </w:r>
    </w:p>
    <w:p w14:paraId="1AF3817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lang w:val="en-US" w:eastAsia="zh-CN"/>
        </w:rPr>
        <w:t>（6）</w:t>
      </w:r>
      <w:r>
        <w:rPr>
          <w:rFonts w:hint="eastAsia" w:ascii="宋体" w:hAnsi="宋体" w:cs="宋体"/>
          <w:szCs w:val="21"/>
          <w:highlight w:val="none"/>
          <w:lang w:eastAsia="zh-CN"/>
        </w:rPr>
        <w:t>供应商</w:t>
      </w:r>
      <w:r>
        <w:rPr>
          <w:rFonts w:hint="eastAsia" w:ascii="宋体" w:hAnsi="宋体" w:cs="宋体"/>
          <w:szCs w:val="21"/>
          <w:highlight w:val="none"/>
        </w:rPr>
        <w:t>不得存在下列情形之一：(提供承诺书)</w:t>
      </w:r>
    </w:p>
    <w:p w14:paraId="1583E87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eastAsia="zh-CN"/>
        </w:rPr>
        <w:t>供应商</w:t>
      </w:r>
      <w:r>
        <w:rPr>
          <w:rFonts w:hint="eastAsia" w:ascii="宋体" w:hAnsi="宋体" w:cs="宋体"/>
          <w:szCs w:val="21"/>
          <w:highlight w:val="none"/>
        </w:rPr>
        <w:t>被责令停业或破产状态的；</w:t>
      </w:r>
    </w:p>
    <w:p w14:paraId="0AEE0C2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w:t>
      </w:r>
      <w:r>
        <w:rPr>
          <w:rFonts w:hint="eastAsia" w:ascii="宋体" w:hAnsi="宋体" w:cs="宋体"/>
          <w:szCs w:val="21"/>
          <w:highlight w:val="none"/>
          <w:lang w:eastAsia="zh-CN"/>
        </w:rPr>
        <w:t>供应商</w:t>
      </w:r>
      <w:r>
        <w:rPr>
          <w:rFonts w:hint="eastAsia" w:ascii="宋体" w:hAnsi="宋体" w:cs="宋体"/>
          <w:szCs w:val="21"/>
          <w:highlight w:val="none"/>
        </w:rPr>
        <w:t>被暂停或取消投标资格的；</w:t>
      </w:r>
    </w:p>
    <w:p w14:paraId="5070A29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w:t>
      </w:r>
      <w:r>
        <w:rPr>
          <w:rFonts w:hint="eastAsia" w:ascii="宋体" w:hAnsi="宋体" w:cs="宋体"/>
          <w:szCs w:val="21"/>
          <w:highlight w:val="none"/>
          <w:lang w:eastAsia="zh-CN"/>
        </w:rPr>
        <w:t>供应商</w:t>
      </w:r>
      <w:r>
        <w:rPr>
          <w:rFonts w:hint="eastAsia" w:ascii="宋体" w:hAnsi="宋体" w:cs="宋体"/>
          <w:szCs w:val="21"/>
          <w:highlight w:val="none"/>
        </w:rPr>
        <w:t>财产被接管、查封、扣押或冻结的；</w:t>
      </w:r>
    </w:p>
    <w:p w14:paraId="69A224E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w:t>
      </w:r>
      <w:r>
        <w:rPr>
          <w:rFonts w:hint="eastAsia" w:ascii="宋体" w:hAnsi="宋体" w:cs="宋体"/>
          <w:szCs w:val="21"/>
          <w:highlight w:val="none"/>
          <w:lang w:eastAsia="zh-CN"/>
        </w:rPr>
        <w:t>供应商</w:t>
      </w:r>
      <w:r>
        <w:rPr>
          <w:rFonts w:hint="eastAsia" w:ascii="宋体" w:hAnsi="宋体" w:cs="宋体"/>
          <w:szCs w:val="21"/>
          <w:highlight w:val="none"/>
        </w:rPr>
        <w:t>近三年（2023年1月1日至本项目评审之日），在河南</w:t>
      </w:r>
      <w:r>
        <w:rPr>
          <w:rFonts w:hint="eastAsia" w:ascii="宋体" w:hAnsi="宋体" w:cs="宋体"/>
          <w:szCs w:val="21"/>
          <w:highlight w:val="none"/>
          <w:lang w:val="en-US" w:eastAsia="zh-CN"/>
        </w:rPr>
        <w:t>产互联</w:t>
      </w:r>
      <w:r>
        <w:rPr>
          <w:rFonts w:hint="eastAsia" w:ascii="宋体" w:hAnsi="宋体" w:cs="宋体"/>
          <w:szCs w:val="21"/>
          <w:highlight w:val="none"/>
        </w:rPr>
        <w:t>组织的采购活动中，被认定存在串标、围标、骗标等行为的。</w:t>
      </w:r>
    </w:p>
    <w:p w14:paraId="04EA3839">
      <w:pPr>
        <w:rPr>
          <w:rFonts w:hint="eastAsia" w:ascii="宋体" w:hAnsi="宋体" w:cs="宋体"/>
          <w:b/>
          <w:szCs w:val="21"/>
          <w:highlight w:val="none"/>
        </w:rPr>
      </w:pPr>
      <w:r>
        <w:rPr>
          <w:rFonts w:hint="eastAsia" w:ascii="宋体" w:hAnsi="宋体" w:cs="宋体"/>
          <w:b/>
          <w:szCs w:val="21"/>
          <w:highlight w:val="none"/>
        </w:rPr>
        <w:br w:type="page"/>
      </w:r>
    </w:p>
    <w:p w14:paraId="1C3184AE">
      <w:pPr>
        <w:numPr>
          <w:ilvl w:val="255"/>
          <w:numId w:val="0"/>
        </w:numPr>
        <w:spacing w:line="360" w:lineRule="auto"/>
        <w:rPr>
          <w:rFonts w:hint="eastAsia" w:ascii="宋体" w:hAnsi="宋体" w:cs="宋体"/>
          <w:b/>
          <w:szCs w:val="21"/>
          <w:highlight w:val="none"/>
        </w:rPr>
      </w:pPr>
      <w:r>
        <w:rPr>
          <w:rFonts w:hint="eastAsia" w:ascii="宋体" w:hAnsi="宋体" w:cs="宋体"/>
          <w:b/>
          <w:szCs w:val="21"/>
          <w:highlight w:val="none"/>
        </w:rPr>
        <w:t>五、商务响应文件</w:t>
      </w:r>
    </w:p>
    <w:p w14:paraId="32BBC015">
      <w:pPr>
        <w:widowControl/>
        <w:spacing w:line="360" w:lineRule="auto"/>
        <w:jc w:val="left"/>
        <w:rPr>
          <w:rFonts w:hint="eastAsia" w:ascii="宋体" w:hAnsi="宋体"/>
          <w:b/>
          <w:bCs/>
          <w:sz w:val="24"/>
          <w:szCs w:val="24"/>
          <w:highlight w:val="none"/>
        </w:rPr>
      </w:pPr>
      <w:bookmarkStart w:id="426" w:name="_Toc40390839"/>
      <w:r>
        <w:rPr>
          <w:rFonts w:hint="eastAsia" w:ascii="宋体" w:hAnsi="宋体"/>
          <w:b/>
          <w:bCs/>
          <w:szCs w:val="21"/>
          <w:highlight w:val="none"/>
        </w:rPr>
        <w:t>5.1企业业绩</w:t>
      </w:r>
      <w:r>
        <w:rPr>
          <w:rFonts w:hint="eastAsia" w:ascii="宋体" w:hAnsi="宋体"/>
          <w:szCs w:val="21"/>
          <w:highlight w:val="none"/>
        </w:rPr>
        <w:t>（一个业绩一张表，供应商自行添加）</w:t>
      </w:r>
      <w:r>
        <w:rPr>
          <w:rFonts w:hint="eastAsia" w:ascii="宋体" w:hAnsi="宋体"/>
          <w:b/>
          <w:bCs/>
          <w:szCs w:val="21"/>
          <w:highlight w:val="none"/>
        </w:rPr>
        <w:t>：</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8"/>
        <w:gridCol w:w="5095"/>
      </w:tblGrid>
      <w:tr w14:paraId="0A37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2508" w:type="dxa"/>
            <w:vAlign w:val="center"/>
          </w:tcPr>
          <w:p w14:paraId="67C4BA4C">
            <w:pPr>
              <w:spacing w:line="360" w:lineRule="auto"/>
              <w:rPr>
                <w:rFonts w:hint="eastAsia" w:ascii="宋体" w:hAnsi="宋体"/>
                <w:bCs/>
                <w:szCs w:val="21"/>
                <w:highlight w:val="none"/>
              </w:rPr>
            </w:pPr>
            <w:r>
              <w:rPr>
                <w:rFonts w:ascii="宋体" w:hAnsi="宋体"/>
                <w:bCs/>
                <w:szCs w:val="21"/>
                <w:highlight w:val="none"/>
              </w:rPr>
              <w:t>项目名称</w:t>
            </w:r>
          </w:p>
        </w:tc>
        <w:tc>
          <w:tcPr>
            <w:tcW w:w="5095" w:type="dxa"/>
            <w:vAlign w:val="center"/>
          </w:tcPr>
          <w:p w14:paraId="012BD931">
            <w:pPr>
              <w:spacing w:line="360" w:lineRule="auto"/>
              <w:rPr>
                <w:rFonts w:hint="eastAsia" w:ascii="宋体" w:hAnsi="宋体"/>
                <w:b/>
                <w:szCs w:val="21"/>
                <w:highlight w:val="none"/>
              </w:rPr>
            </w:pPr>
          </w:p>
        </w:tc>
      </w:tr>
      <w:tr w14:paraId="04D6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2508" w:type="dxa"/>
            <w:vAlign w:val="center"/>
          </w:tcPr>
          <w:p w14:paraId="1EF11AF5">
            <w:pPr>
              <w:spacing w:line="360" w:lineRule="auto"/>
              <w:rPr>
                <w:rFonts w:hint="eastAsia" w:ascii="宋体" w:hAnsi="宋体"/>
                <w:bCs/>
                <w:szCs w:val="21"/>
                <w:highlight w:val="none"/>
              </w:rPr>
            </w:pPr>
            <w:r>
              <w:rPr>
                <w:rFonts w:ascii="宋体" w:hAnsi="宋体"/>
                <w:bCs/>
                <w:szCs w:val="21"/>
                <w:highlight w:val="none"/>
              </w:rPr>
              <w:t>项目地址</w:t>
            </w:r>
          </w:p>
        </w:tc>
        <w:tc>
          <w:tcPr>
            <w:tcW w:w="5095" w:type="dxa"/>
            <w:vAlign w:val="center"/>
          </w:tcPr>
          <w:p w14:paraId="22A3E6B6">
            <w:pPr>
              <w:spacing w:line="360" w:lineRule="auto"/>
              <w:rPr>
                <w:rFonts w:hint="eastAsia" w:ascii="宋体" w:hAnsi="宋体"/>
                <w:b/>
                <w:szCs w:val="21"/>
                <w:highlight w:val="none"/>
              </w:rPr>
            </w:pPr>
          </w:p>
        </w:tc>
      </w:tr>
      <w:tr w14:paraId="3373A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2508" w:type="dxa"/>
            <w:vAlign w:val="center"/>
          </w:tcPr>
          <w:p w14:paraId="3593EE86">
            <w:pPr>
              <w:spacing w:line="360" w:lineRule="auto"/>
              <w:rPr>
                <w:rFonts w:hint="eastAsia" w:ascii="宋体" w:hAnsi="宋体"/>
                <w:bCs/>
                <w:szCs w:val="21"/>
                <w:highlight w:val="none"/>
              </w:rPr>
            </w:pPr>
            <w:r>
              <w:rPr>
                <w:rFonts w:ascii="宋体" w:hAnsi="宋体"/>
                <w:bCs/>
                <w:szCs w:val="21"/>
                <w:highlight w:val="none"/>
              </w:rPr>
              <w:t>项目金额</w:t>
            </w:r>
          </w:p>
        </w:tc>
        <w:tc>
          <w:tcPr>
            <w:tcW w:w="5095" w:type="dxa"/>
            <w:vAlign w:val="center"/>
          </w:tcPr>
          <w:p w14:paraId="073265AF">
            <w:pPr>
              <w:spacing w:line="360" w:lineRule="auto"/>
              <w:rPr>
                <w:rFonts w:hint="eastAsia" w:ascii="宋体" w:hAnsi="宋体"/>
                <w:b/>
                <w:szCs w:val="21"/>
                <w:highlight w:val="none"/>
              </w:rPr>
            </w:pPr>
          </w:p>
        </w:tc>
      </w:tr>
      <w:tr w14:paraId="3A6D1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2508" w:type="dxa"/>
            <w:vAlign w:val="center"/>
          </w:tcPr>
          <w:p w14:paraId="761B838A">
            <w:pPr>
              <w:spacing w:line="360" w:lineRule="auto"/>
              <w:rPr>
                <w:rFonts w:hint="eastAsia" w:ascii="宋体" w:hAnsi="宋体"/>
                <w:bCs/>
                <w:szCs w:val="21"/>
                <w:highlight w:val="none"/>
              </w:rPr>
            </w:pPr>
            <w:r>
              <w:rPr>
                <w:rFonts w:ascii="宋体" w:hAnsi="宋体"/>
                <w:bCs/>
                <w:szCs w:val="21"/>
                <w:highlight w:val="none"/>
              </w:rPr>
              <w:t>委托人名称</w:t>
            </w:r>
          </w:p>
        </w:tc>
        <w:tc>
          <w:tcPr>
            <w:tcW w:w="5095" w:type="dxa"/>
            <w:vAlign w:val="center"/>
          </w:tcPr>
          <w:p w14:paraId="18922A4A">
            <w:pPr>
              <w:spacing w:line="360" w:lineRule="auto"/>
              <w:rPr>
                <w:rFonts w:hint="eastAsia" w:ascii="宋体" w:hAnsi="宋体"/>
                <w:b/>
                <w:szCs w:val="21"/>
                <w:highlight w:val="none"/>
              </w:rPr>
            </w:pPr>
          </w:p>
        </w:tc>
      </w:tr>
      <w:tr w14:paraId="1D2D7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2508" w:type="dxa"/>
            <w:vAlign w:val="center"/>
          </w:tcPr>
          <w:p w14:paraId="05C1E89D">
            <w:pPr>
              <w:spacing w:line="360" w:lineRule="auto"/>
              <w:rPr>
                <w:rFonts w:hint="eastAsia" w:ascii="宋体" w:hAnsi="宋体"/>
                <w:bCs/>
                <w:szCs w:val="21"/>
                <w:highlight w:val="none"/>
              </w:rPr>
            </w:pPr>
            <w:r>
              <w:rPr>
                <w:rFonts w:ascii="宋体" w:hAnsi="宋体"/>
                <w:bCs/>
                <w:szCs w:val="21"/>
                <w:highlight w:val="none"/>
              </w:rPr>
              <w:t>合同签订日期</w:t>
            </w:r>
          </w:p>
        </w:tc>
        <w:tc>
          <w:tcPr>
            <w:tcW w:w="5095" w:type="dxa"/>
            <w:vAlign w:val="center"/>
          </w:tcPr>
          <w:p w14:paraId="7B0580DC">
            <w:pPr>
              <w:spacing w:line="360" w:lineRule="auto"/>
              <w:rPr>
                <w:rFonts w:hint="eastAsia" w:ascii="宋体" w:hAnsi="宋体"/>
                <w:b/>
                <w:szCs w:val="21"/>
                <w:highlight w:val="none"/>
              </w:rPr>
            </w:pPr>
          </w:p>
        </w:tc>
      </w:tr>
      <w:tr w14:paraId="0F64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2508" w:type="dxa"/>
            <w:vAlign w:val="center"/>
          </w:tcPr>
          <w:p w14:paraId="7332A322">
            <w:pPr>
              <w:spacing w:line="360" w:lineRule="auto"/>
              <w:rPr>
                <w:rFonts w:hint="eastAsia" w:ascii="宋体" w:hAnsi="宋体"/>
                <w:bCs/>
                <w:szCs w:val="21"/>
                <w:highlight w:val="none"/>
              </w:rPr>
            </w:pPr>
            <w:r>
              <w:rPr>
                <w:rFonts w:ascii="宋体" w:hAnsi="宋体"/>
                <w:bCs/>
                <w:szCs w:val="21"/>
                <w:highlight w:val="none"/>
              </w:rPr>
              <w:t>备注</w:t>
            </w:r>
          </w:p>
        </w:tc>
        <w:tc>
          <w:tcPr>
            <w:tcW w:w="5095" w:type="dxa"/>
            <w:vAlign w:val="center"/>
          </w:tcPr>
          <w:p w14:paraId="78A93BB2">
            <w:pPr>
              <w:spacing w:line="360" w:lineRule="auto"/>
              <w:rPr>
                <w:rFonts w:hint="eastAsia" w:ascii="宋体" w:hAnsi="宋体"/>
                <w:b/>
                <w:szCs w:val="21"/>
                <w:highlight w:val="none"/>
              </w:rPr>
            </w:pPr>
          </w:p>
        </w:tc>
      </w:tr>
    </w:tbl>
    <w:p w14:paraId="0C93FC29">
      <w:pPr>
        <w:spacing w:line="360" w:lineRule="auto"/>
        <w:rPr>
          <w:rFonts w:hint="eastAsia" w:ascii="宋体" w:hAnsi="宋体"/>
          <w:b/>
          <w:szCs w:val="21"/>
          <w:highlight w:val="none"/>
        </w:rPr>
      </w:pPr>
      <w:r>
        <w:rPr>
          <w:rFonts w:ascii="宋体" w:hAnsi="宋体"/>
          <w:b/>
          <w:szCs w:val="21"/>
          <w:highlight w:val="none"/>
        </w:rPr>
        <w:t>注：后</w:t>
      </w:r>
      <w:r>
        <w:rPr>
          <w:rFonts w:hint="eastAsia" w:ascii="宋体" w:hAnsi="宋体"/>
          <w:b/>
          <w:szCs w:val="21"/>
          <w:highlight w:val="none"/>
        </w:rPr>
        <w:t>附相关证明资料。</w:t>
      </w:r>
    </w:p>
    <w:p w14:paraId="243D674B">
      <w:pPr>
        <w:spacing w:before="31" w:after="31" w:line="360" w:lineRule="auto"/>
        <w:ind w:firstLine="1840" w:firstLineChars="800"/>
        <w:rPr>
          <w:rFonts w:hint="eastAsia" w:ascii="宋体" w:hAnsi="宋体"/>
          <w:spacing w:val="10"/>
          <w:szCs w:val="21"/>
          <w:highlight w:val="none"/>
        </w:rPr>
      </w:pPr>
      <w:r>
        <w:rPr>
          <w:rFonts w:hint="eastAsia" w:ascii="宋体" w:hAnsi="宋体"/>
          <w:spacing w:val="10"/>
          <w:szCs w:val="21"/>
          <w:highlight w:val="none"/>
        </w:rPr>
        <w:t>供应商名称（盖章）：</w:t>
      </w:r>
      <w:r>
        <w:rPr>
          <w:rFonts w:hint="eastAsia" w:ascii="宋体" w:hAnsi="宋体"/>
          <w:spacing w:val="10"/>
          <w:szCs w:val="21"/>
          <w:highlight w:val="none"/>
          <w:u w:val="single"/>
        </w:rPr>
        <w:t xml:space="preserve">                 </w:t>
      </w:r>
      <w:r>
        <w:rPr>
          <w:rFonts w:ascii="宋体" w:hAnsi="宋体"/>
          <w:spacing w:val="10"/>
          <w:szCs w:val="21"/>
          <w:highlight w:val="none"/>
        </w:rPr>
        <w:t xml:space="preserve"> </w:t>
      </w:r>
    </w:p>
    <w:p w14:paraId="62B07D23">
      <w:pPr>
        <w:spacing w:line="360" w:lineRule="auto"/>
        <w:ind w:firstLine="460" w:firstLineChars="200"/>
        <w:rPr>
          <w:rFonts w:hint="eastAsia" w:ascii="宋体" w:hAnsi="宋体"/>
          <w:spacing w:val="10"/>
          <w:szCs w:val="21"/>
          <w:highlight w:val="none"/>
        </w:rPr>
      </w:pPr>
      <w:r>
        <w:rPr>
          <w:rFonts w:hint="eastAsia" w:ascii="宋体" w:hAnsi="宋体"/>
          <w:spacing w:val="10"/>
          <w:szCs w:val="21"/>
          <w:highlight w:val="none"/>
        </w:rPr>
        <w:t>法定代表人或其授权代表（</w:t>
      </w:r>
      <w:r>
        <w:rPr>
          <w:rFonts w:hint="eastAsia" w:ascii="宋体" w:hAnsi="宋体" w:cs="宋体"/>
          <w:spacing w:val="8"/>
          <w:szCs w:val="21"/>
          <w:highlight w:val="none"/>
          <w:u w:val="single"/>
        </w:rPr>
        <w:t>签字或盖章</w:t>
      </w:r>
      <w:r>
        <w:rPr>
          <w:rFonts w:hint="eastAsia" w:ascii="宋体" w:hAnsi="宋体"/>
          <w:spacing w:val="10"/>
          <w:szCs w:val="21"/>
          <w:highlight w:val="none"/>
        </w:rPr>
        <w:t>）：</w:t>
      </w:r>
      <w:r>
        <w:rPr>
          <w:rFonts w:hint="eastAsia" w:ascii="宋体" w:hAnsi="宋体"/>
          <w:spacing w:val="10"/>
          <w:szCs w:val="21"/>
          <w:highlight w:val="none"/>
          <w:u w:val="single"/>
        </w:rPr>
        <w:t xml:space="preserve">                 </w:t>
      </w:r>
    </w:p>
    <w:p w14:paraId="27BDA034">
      <w:pPr>
        <w:spacing w:line="360" w:lineRule="auto"/>
        <w:ind w:firstLine="2300" w:firstLineChars="1000"/>
        <w:rPr>
          <w:rFonts w:hint="eastAsia" w:ascii="宋体" w:hAnsi="宋体"/>
          <w:spacing w:val="10"/>
          <w:szCs w:val="21"/>
          <w:highlight w:val="none"/>
        </w:rPr>
      </w:pPr>
      <w:r>
        <w:rPr>
          <w:rFonts w:hint="eastAsia" w:ascii="宋体" w:hAnsi="宋体"/>
          <w:spacing w:val="10"/>
          <w:szCs w:val="21"/>
          <w:highlight w:val="none"/>
        </w:rPr>
        <w:t>日期：</w:t>
      </w:r>
      <w:r>
        <w:rPr>
          <w:rFonts w:hint="eastAsia" w:ascii="宋体" w:hAnsi="宋体"/>
          <w:spacing w:val="10"/>
          <w:szCs w:val="21"/>
          <w:highlight w:val="none"/>
          <w:u w:val="single"/>
        </w:rPr>
        <w:t xml:space="preserve">       </w:t>
      </w:r>
      <w:r>
        <w:rPr>
          <w:rFonts w:hint="eastAsia" w:ascii="宋体" w:hAnsi="宋体"/>
          <w:spacing w:val="10"/>
          <w:szCs w:val="21"/>
          <w:highlight w:val="none"/>
        </w:rPr>
        <w:t>年</w:t>
      </w:r>
      <w:r>
        <w:rPr>
          <w:rFonts w:hint="eastAsia" w:ascii="宋体" w:hAnsi="宋体"/>
          <w:spacing w:val="10"/>
          <w:szCs w:val="21"/>
          <w:highlight w:val="none"/>
          <w:u w:val="single"/>
        </w:rPr>
        <w:t xml:space="preserve">       </w:t>
      </w:r>
      <w:r>
        <w:rPr>
          <w:rFonts w:hint="eastAsia" w:ascii="宋体" w:hAnsi="宋体"/>
          <w:spacing w:val="10"/>
          <w:szCs w:val="21"/>
          <w:highlight w:val="none"/>
        </w:rPr>
        <w:t>月</w:t>
      </w:r>
      <w:r>
        <w:rPr>
          <w:rFonts w:hint="eastAsia" w:ascii="宋体" w:hAnsi="宋体"/>
          <w:spacing w:val="10"/>
          <w:szCs w:val="21"/>
          <w:highlight w:val="none"/>
          <w:u w:val="single"/>
        </w:rPr>
        <w:t xml:space="preserve">       </w:t>
      </w:r>
      <w:r>
        <w:rPr>
          <w:rFonts w:hint="eastAsia" w:ascii="宋体" w:hAnsi="宋体"/>
          <w:spacing w:val="10"/>
          <w:szCs w:val="21"/>
          <w:highlight w:val="none"/>
        </w:rPr>
        <w:t>日</w:t>
      </w:r>
    </w:p>
    <w:p w14:paraId="30B7A15D">
      <w:pPr>
        <w:rPr>
          <w:rFonts w:hint="eastAsia" w:ascii="宋体" w:hAnsi="宋体"/>
          <w:b/>
          <w:bCs/>
          <w:sz w:val="24"/>
          <w:szCs w:val="24"/>
          <w:highlight w:val="none"/>
        </w:rPr>
      </w:pPr>
      <w:r>
        <w:rPr>
          <w:rFonts w:hint="eastAsia" w:ascii="宋体" w:hAnsi="宋体"/>
          <w:b/>
          <w:bCs/>
          <w:sz w:val="24"/>
          <w:szCs w:val="24"/>
          <w:highlight w:val="none"/>
        </w:rPr>
        <w:br w:type="page"/>
      </w:r>
    </w:p>
    <w:p w14:paraId="6180AAA3">
      <w:pPr>
        <w:widowControl/>
        <w:jc w:val="left"/>
        <w:rPr>
          <w:rFonts w:hint="eastAsia" w:ascii="宋体" w:hAnsi="宋体"/>
          <w:b/>
          <w:sz w:val="24"/>
          <w:szCs w:val="24"/>
          <w:highlight w:val="none"/>
        </w:rPr>
      </w:pPr>
    </w:p>
    <w:p w14:paraId="201F09A8">
      <w:pPr>
        <w:widowControl/>
        <w:jc w:val="left"/>
        <w:rPr>
          <w:rFonts w:hint="eastAsia" w:ascii="宋体" w:hAnsi="宋体"/>
          <w:b/>
          <w:bCs/>
          <w:sz w:val="24"/>
          <w:szCs w:val="24"/>
          <w:highlight w:val="none"/>
        </w:rPr>
      </w:pPr>
      <w:r>
        <w:rPr>
          <w:rFonts w:hint="eastAsia" w:ascii="宋体" w:hAnsi="宋体"/>
          <w:b/>
          <w:sz w:val="24"/>
          <w:szCs w:val="24"/>
          <w:highlight w:val="none"/>
        </w:rPr>
        <w:t>5.</w:t>
      </w:r>
      <w:r>
        <w:rPr>
          <w:rFonts w:hint="eastAsia" w:ascii="宋体" w:hAnsi="宋体"/>
          <w:b/>
          <w:sz w:val="24"/>
          <w:szCs w:val="24"/>
          <w:highlight w:val="none"/>
          <w:lang w:val="en-US" w:eastAsia="zh-CN"/>
        </w:rPr>
        <w:t>2</w:t>
      </w:r>
      <w:r>
        <w:rPr>
          <w:rFonts w:ascii="宋体" w:hAnsi="宋体"/>
          <w:b/>
          <w:bCs/>
          <w:sz w:val="24"/>
          <w:szCs w:val="24"/>
          <w:highlight w:val="none"/>
        </w:rPr>
        <w:t>采购活动廉洁承诺书</w:t>
      </w:r>
    </w:p>
    <w:p w14:paraId="61C22EB9">
      <w:pPr>
        <w:widowControl/>
        <w:spacing w:line="520" w:lineRule="exact"/>
        <w:jc w:val="center"/>
        <w:rPr>
          <w:rFonts w:hint="eastAsia" w:asciiTheme="minorEastAsia" w:hAnsiTheme="minorEastAsia" w:eastAsiaTheme="minorEastAsia" w:cstheme="minorEastAsia"/>
          <w:kern w:val="0"/>
          <w:sz w:val="40"/>
          <w:szCs w:val="40"/>
          <w:highlight w:val="none"/>
          <w:lang w:bidi="ar"/>
        </w:rPr>
      </w:pPr>
      <w:r>
        <w:rPr>
          <w:rFonts w:hint="eastAsia" w:asciiTheme="minorEastAsia" w:hAnsiTheme="minorEastAsia" w:eastAsiaTheme="minorEastAsia" w:cstheme="minorEastAsia"/>
          <w:kern w:val="0"/>
          <w:sz w:val="28"/>
          <w:szCs w:val="28"/>
          <w:highlight w:val="none"/>
          <w:lang w:bidi="ar"/>
        </w:rPr>
        <w:t>采购活动廉洁承诺书</w:t>
      </w:r>
    </w:p>
    <w:p w14:paraId="71874DFD">
      <w:pPr>
        <w:pStyle w:val="90"/>
        <w:spacing w:after="0" w:line="520" w:lineRule="exact"/>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（供应商适用）</w:t>
      </w:r>
    </w:p>
    <w:p w14:paraId="6EC7DA7E">
      <w:pPr>
        <w:pStyle w:val="90"/>
        <w:spacing w:after="0" w:line="520" w:lineRule="exact"/>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u w:val="single"/>
        </w:rPr>
        <w:t xml:space="preserve">   （采购单位）   </w:t>
      </w:r>
      <w:r>
        <w:rPr>
          <w:rFonts w:hint="eastAsia" w:asciiTheme="minorEastAsia" w:hAnsiTheme="minorEastAsia" w:eastAsiaTheme="minorEastAsia" w:cstheme="minorEastAsia"/>
          <w:szCs w:val="21"/>
          <w:highlight w:val="none"/>
        </w:rPr>
        <w:t>：</w:t>
      </w:r>
    </w:p>
    <w:p w14:paraId="04161015">
      <w:pPr>
        <w:pStyle w:val="90"/>
        <w:spacing w:after="0" w:line="520" w:lineRule="exact"/>
        <w:ind w:firstLine="420" w:firstLineChars="200"/>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为营造公开、公平、公正、诚实守信的采购环境，树立诚信守法的供应商形象，本人代表本单位在参与贵方</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rPr>
        <w:t>项目采购活动中，作出以下承诺：</w:t>
      </w:r>
    </w:p>
    <w:p w14:paraId="5D73B64A">
      <w:pPr>
        <w:pStyle w:val="90"/>
        <w:spacing w:after="0" w:line="520" w:lineRule="exact"/>
        <w:ind w:firstLine="420" w:firstLineChars="200"/>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一、本单位严格按照招标采购等各项法律法规、规章制度及操作规程和办事程序参目与采购活动，自觉遵守采购单位有关廉政建设要求，主动接受相关部门的监督。</w:t>
      </w:r>
    </w:p>
    <w:p w14:paraId="3B252BB8">
      <w:pPr>
        <w:pStyle w:val="90"/>
        <w:spacing w:after="0" w:line="520" w:lineRule="exact"/>
        <w:ind w:firstLine="420" w:firstLineChars="200"/>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二、对所提交的单位基本信息、资格、业绩、基财务状况、信誉等所有资料，均合法、真实、准确、有效，无任何伪造、修改、虚假成份，并对所提供资料的真实性负责。</w:t>
      </w:r>
    </w:p>
    <w:p w14:paraId="1C0B0ED5">
      <w:pPr>
        <w:pStyle w:val="90"/>
        <w:spacing w:after="0" w:line="520" w:lineRule="exact"/>
        <w:ind w:firstLine="420" w:firstLineChars="200"/>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三、自我约束、自我管理，守合同、重信用，不参与围标串标、弄虚作假、骗取中标、干扰评标、违约毁约等行为，自觉维护采购单位采购良好秩序。</w:t>
      </w:r>
    </w:p>
    <w:p w14:paraId="6F44C4D0">
      <w:pPr>
        <w:pStyle w:val="90"/>
        <w:spacing w:after="0" w:line="520" w:lineRule="exact"/>
        <w:ind w:firstLine="420" w:firstLineChars="200"/>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四、不以任何方式向采购单位采购人员或者评审委员会成员赠送礼品、礼金及有价证券；不宴请或邀请采购单位的任何人参加高档娱乐消费、旅游等活动；不以任何形式报销采购单位的任何人以及亲友的各种票据及费用；不进行可能影响采购公平、公任正的任何活动。</w:t>
      </w:r>
    </w:p>
    <w:p w14:paraId="3C3F4BAF">
      <w:pPr>
        <w:pStyle w:val="90"/>
        <w:wordWrap w:val="0"/>
        <w:spacing w:after="0" w:line="520" w:lineRule="exact"/>
        <w:ind w:firstLine="420" w:firstLineChars="200"/>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五、一旦发现采购单位相关人员在采购过程中有索要财物等不廉洁行为，坚决予以抵制，并及时向采购单位纪检监察管理部门举报。</w:t>
      </w:r>
    </w:p>
    <w:p w14:paraId="6347569B">
      <w:pPr>
        <w:pStyle w:val="90"/>
        <w:spacing w:after="0" w:line="520" w:lineRule="exact"/>
        <w:ind w:firstLine="420" w:firstLineChars="200"/>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六、我方自愿将本承诺书作为采购投标文件的附件，具有同等的法律效力。</w:t>
      </w:r>
    </w:p>
    <w:p w14:paraId="42D276F0">
      <w:pPr>
        <w:pStyle w:val="90"/>
        <w:spacing w:after="0" w:line="520" w:lineRule="exact"/>
        <w:ind w:firstLine="420" w:firstLineChars="200"/>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七、本单位将严格遵守以上承诺，如发生违法违规或不良行为，自愿接受河南文旅投资集团相关部门给予的处理，列入集团系统采购“黑名单”，并依法承担责任。</w:t>
      </w:r>
    </w:p>
    <w:p w14:paraId="1F29ADFB">
      <w:pPr>
        <w:pStyle w:val="90"/>
        <w:spacing w:after="0" w:line="520" w:lineRule="exact"/>
        <w:ind w:firstLine="420" w:firstLineChars="200"/>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八、本人作为</w:t>
      </w:r>
      <w:r>
        <w:rPr>
          <w:rFonts w:hint="eastAsia" w:asciiTheme="minorEastAsia" w:hAnsiTheme="minorEastAsia" w:eastAsiaTheme="minorEastAsia" w:cstheme="minorEastAsia"/>
          <w:szCs w:val="21"/>
          <w:highlight w:val="none"/>
          <w:u w:val="single"/>
        </w:rPr>
        <w:t xml:space="preserve">  (单位)  </w:t>
      </w:r>
      <w:r>
        <w:rPr>
          <w:rFonts w:hint="eastAsia" w:asciiTheme="minorEastAsia" w:hAnsiTheme="minorEastAsia" w:eastAsiaTheme="minorEastAsia" w:cstheme="minorEastAsia"/>
          <w:szCs w:val="21"/>
          <w:highlight w:val="none"/>
        </w:rPr>
        <w:t>法定代表人(授权代理人),已认真阅读了上述承诺，并向本单位员工作了宣传教育。</w:t>
      </w:r>
    </w:p>
    <w:p w14:paraId="1D043307">
      <w:pPr>
        <w:pStyle w:val="90"/>
        <w:spacing w:after="0" w:line="520" w:lineRule="exact"/>
        <w:ind w:firstLine="2310" w:firstLineChars="1100"/>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法定代表人或授权代理人签字或盖章：</w:t>
      </w:r>
    </w:p>
    <w:p w14:paraId="452659E7">
      <w:pPr>
        <w:pStyle w:val="90"/>
        <w:spacing w:after="0" w:line="520" w:lineRule="exact"/>
        <w:ind w:firstLine="3360" w:firstLineChars="1600"/>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承诺单位（签章）：</w:t>
      </w:r>
    </w:p>
    <w:p w14:paraId="6B53BBE5">
      <w:pPr>
        <w:pStyle w:val="90"/>
        <w:spacing w:after="0" w:line="520" w:lineRule="exact"/>
        <w:ind w:firstLine="4620" w:firstLineChars="2200"/>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年  月  日</w:t>
      </w:r>
    </w:p>
    <w:p w14:paraId="13967EDD">
      <w:pPr>
        <w:rPr>
          <w:rFonts w:hint="eastAsia" w:ascii="宋体" w:hAnsi="宋体" w:cs="宋体"/>
          <w:highlight w:val="none"/>
        </w:rPr>
      </w:pPr>
      <w:r>
        <w:rPr>
          <w:rFonts w:ascii="宋体" w:hAnsi="宋体"/>
          <w:b/>
          <w:bCs/>
          <w:sz w:val="24"/>
          <w:szCs w:val="24"/>
          <w:highlight w:val="none"/>
        </w:rPr>
        <w:br w:type="page"/>
      </w:r>
      <w:bookmarkEnd w:id="426"/>
    </w:p>
    <w:p w14:paraId="0F8D9BCF">
      <w:pPr>
        <w:spacing w:line="360" w:lineRule="auto"/>
        <w:rPr>
          <w:rFonts w:hint="eastAsia" w:ascii="宋体" w:hAnsi="宋体" w:cs="宋体"/>
          <w:b/>
          <w:szCs w:val="21"/>
          <w:highlight w:val="none"/>
        </w:rPr>
      </w:pPr>
      <w:r>
        <w:rPr>
          <w:rFonts w:hint="eastAsia" w:ascii="宋体" w:hAnsi="宋体" w:cs="宋体"/>
          <w:b/>
          <w:szCs w:val="21"/>
          <w:highlight w:val="none"/>
        </w:rPr>
        <w:t>六、技术响应文件</w:t>
      </w:r>
    </w:p>
    <w:p w14:paraId="1C18C97E">
      <w:pPr>
        <w:spacing w:line="360" w:lineRule="auto"/>
        <w:ind w:firstLine="420" w:firstLineChars="200"/>
        <w:jc w:val="left"/>
        <w:rPr>
          <w:rFonts w:ascii="宋体" w:hAnsi="宋体"/>
          <w:highlight w:val="none"/>
        </w:rPr>
      </w:pPr>
      <w:r>
        <w:rPr>
          <w:rFonts w:hint="eastAsia" w:ascii="宋体" w:hAnsi="宋体"/>
          <w:highlight w:val="none"/>
        </w:rPr>
        <w:t>请对“第四章合同条款及格式”内容按下述格式进行汇总应答，评审委员会将对存在答复“不满足”的投标人做废标处理。</w:t>
      </w:r>
    </w:p>
    <w:p w14:paraId="28EBC967">
      <w:pPr>
        <w:spacing w:line="360" w:lineRule="auto"/>
        <w:ind w:firstLine="422" w:firstLineChars="200"/>
        <w:jc w:val="left"/>
        <w:rPr>
          <w:rFonts w:ascii="宋体" w:hAnsi="宋体"/>
          <w:b/>
          <w:szCs w:val="21"/>
          <w:highlight w:val="none"/>
        </w:rPr>
      </w:pPr>
      <w:r>
        <w:rPr>
          <w:rFonts w:hint="eastAsia" w:ascii="宋体" w:hAnsi="宋体"/>
          <w:b/>
          <w:szCs w:val="21"/>
          <w:highlight w:val="none"/>
        </w:rPr>
        <w:t>（一）</w:t>
      </w:r>
      <w:r>
        <w:rPr>
          <w:rFonts w:hint="eastAsia" w:ascii="宋体" w:hAnsi="宋体"/>
          <w:b/>
          <w:highlight w:val="none"/>
        </w:rPr>
        <w:t>合同条款及格式</w:t>
      </w:r>
      <w:r>
        <w:rPr>
          <w:rFonts w:hint="eastAsia" w:ascii="宋体" w:hAnsi="宋体"/>
          <w:b/>
          <w:szCs w:val="21"/>
          <w:highlight w:val="none"/>
        </w:rPr>
        <w:t>的汇总应答</w:t>
      </w:r>
    </w:p>
    <w:p w14:paraId="6304FED1">
      <w:pPr>
        <w:spacing w:line="360" w:lineRule="auto"/>
        <w:ind w:firstLine="420" w:firstLineChars="200"/>
        <w:jc w:val="left"/>
        <w:rPr>
          <w:rFonts w:ascii="宋体" w:hAnsi="宋体"/>
          <w:szCs w:val="21"/>
          <w:highlight w:val="none"/>
        </w:rPr>
      </w:pPr>
      <w:r>
        <w:rPr>
          <w:rFonts w:hint="eastAsia" w:ascii="宋体" w:hAnsi="宋体"/>
          <w:szCs w:val="21"/>
          <w:highlight w:val="none"/>
        </w:rPr>
        <w:t>1、若对</w:t>
      </w:r>
      <w:r>
        <w:rPr>
          <w:rFonts w:hint="eastAsia" w:ascii="宋体" w:hAnsi="宋体"/>
          <w:highlight w:val="none"/>
        </w:rPr>
        <w:t>“第四章合同条款及格式”内容</w:t>
      </w:r>
      <w:r>
        <w:rPr>
          <w:rFonts w:hint="eastAsia" w:ascii="宋体" w:hAnsi="宋体"/>
          <w:szCs w:val="21"/>
          <w:highlight w:val="none"/>
        </w:rPr>
        <w:t>全部满足，请在下方应答“</w:t>
      </w:r>
      <w:r>
        <w:rPr>
          <w:rFonts w:hint="eastAsia" w:ascii="宋体" w:hAnsi="宋体"/>
          <w:b/>
          <w:szCs w:val="21"/>
          <w:highlight w:val="none"/>
        </w:rPr>
        <w:t>全部满足</w:t>
      </w:r>
      <w:r>
        <w:rPr>
          <w:rFonts w:hint="eastAsia" w:ascii="宋体" w:hAnsi="宋体"/>
          <w:szCs w:val="21"/>
          <w:highlight w:val="none"/>
        </w:rPr>
        <w:t>”。</w:t>
      </w:r>
    </w:p>
    <w:p w14:paraId="7969D78B">
      <w:pPr>
        <w:spacing w:line="360" w:lineRule="auto"/>
        <w:ind w:firstLine="422" w:firstLineChars="200"/>
        <w:jc w:val="left"/>
        <w:rPr>
          <w:rFonts w:ascii="宋体" w:hAnsi="宋体"/>
          <w:b/>
          <w:szCs w:val="21"/>
          <w:highlight w:val="none"/>
          <w:u w:val="single"/>
        </w:rPr>
      </w:pPr>
      <w:r>
        <w:rPr>
          <w:rFonts w:hint="eastAsia" w:ascii="宋体" w:hAnsi="宋体"/>
          <w:b/>
          <w:szCs w:val="21"/>
          <w:highlight w:val="none"/>
        </w:rPr>
        <w:t>对第四章</w:t>
      </w:r>
      <w:r>
        <w:rPr>
          <w:rFonts w:hint="eastAsia" w:ascii="宋体" w:hAnsi="宋体"/>
          <w:b/>
          <w:highlight w:val="none"/>
        </w:rPr>
        <w:t>合同条款及格式</w:t>
      </w:r>
      <w:r>
        <w:rPr>
          <w:rFonts w:hint="eastAsia" w:ascii="宋体" w:hAnsi="宋体"/>
          <w:b/>
          <w:szCs w:val="21"/>
          <w:highlight w:val="none"/>
        </w:rPr>
        <w:t>应答：</w:t>
      </w:r>
      <w:r>
        <w:rPr>
          <w:rFonts w:hint="eastAsia" w:ascii="宋体" w:hAnsi="宋体"/>
          <w:b/>
          <w:szCs w:val="21"/>
          <w:highlight w:val="none"/>
          <w:u w:val="single"/>
        </w:rPr>
        <w:t xml:space="preserve">                                    </w:t>
      </w:r>
    </w:p>
    <w:p w14:paraId="5D217E4E">
      <w:pPr>
        <w:spacing w:line="360" w:lineRule="auto"/>
        <w:ind w:firstLine="420" w:firstLineChars="200"/>
        <w:jc w:val="left"/>
        <w:rPr>
          <w:rFonts w:cs="宋体"/>
          <w:szCs w:val="21"/>
          <w:highlight w:val="none"/>
        </w:rPr>
      </w:pPr>
      <w:r>
        <w:rPr>
          <w:rFonts w:hint="eastAsia" w:ascii="宋体" w:hAnsi="宋体"/>
          <w:szCs w:val="21"/>
          <w:highlight w:val="none"/>
        </w:rPr>
        <w:t>2、</w:t>
      </w:r>
      <w:r>
        <w:rPr>
          <w:rFonts w:hint="eastAsia" w:cs="宋体"/>
          <w:szCs w:val="21"/>
          <w:highlight w:val="none"/>
        </w:rPr>
        <w:t>若投标人对“第四章合同条款及格式”要求存在偏离，请在下表详细列明，若无偏离，下表无需填写。</w:t>
      </w:r>
    </w:p>
    <w:tbl>
      <w:tblPr>
        <w:tblStyle w:val="33"/>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1193"/>
        <w:gridCol w:w="2113"/>
        <w:gridCol w:w="2263"/>
        <w:gridCol w:w="2716"/>
      </w:tblGrid>
      <w:tr w14:paraId="065B98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jc w:val="center"/>
        </w:trPr>
        <w:tc>
          <w:tcPr>
            <w:tcW w:w="720" w:type="pct"/>
            <w:vAlign w:val="center"/>
          </w:tcPr>
          <w:p w14:paraId="36142E37">
            <w:pPr>
              <w:jc w:val="center"/>
              <w:rPr>
                <w:rFonts w:ascii="宋体" w:hAnsi="宋体"/>
                <w:b/>
                <w:szCs w:val="21"/>
                <w:highlight w:val="none"/>
                <w:lang w:val="en-GB"/>
              </w:rPr>
            </w:pPr>
            <w:r>
              <w:rPr>
                <w:rFonts w:hint="eastAsia" w:ascii="宋体" w:hAnsi="宋体"/>
                <w:b/>
                <w:szCs w:val="21"/>
                <w:highlight w:val="none"/>
                <w:lang w:val="en-GB"/>
              </w:rPr>
              <w:t>序号</w:t>
            </w:r>
          </w:p>
        </w:tc>
        <w:tc>
          <w:tcPr>
            <w:tcW w:w="1275" w:type="pct"/>
            <w:vAlign w:val="center"/>
          </w:tcPr>
          <w:p w14:paraId="3F91987E">
            <w:pPr>
              <w:jc w:val="center"/>
              <w:rPr>
                <w:rFonts w:ascii="宋体" w:hAnsi="宋体"/>
                <w:b/>
                <w:szCs w:val="21"/>
                <w:highlight w:val="none"/>
                <w:lang w:val="en-GB"/>
              </w:rPr>
            </w:pPr>
            <w:r>
              <w:rPr>
                <w:rFonts w:hint="eastAsia" w:ascii="宋体" w:hAnsi="宋体"/>
                <w:b/>
                <w:highlight w:val="none"/>
              </w:rPr>
              <w:t>合同条款及格式</w:t>
            </w:r>
            <w:r>
              <w:rPr>
                <w:rFonts w:hint="eastAsia" w:ascii="宋体" w:hAnsi="宋体"/>
                <w:b/>
                <w:szCs w:val="21"/>
                <w:highlight w:val="none"/>
                <w:lang w:val="en-GB"/>
              </w:rPr>
              <w:t>条目号第</w:t>
            </w:r>
            <w:r>
              <w:rPr>
                <w:rFonts w:hint="eastAsia" w:ascii="宋体" w:hAnsi="宋体"/>
                <w:b/>
                <w:szCs w:val="21"/>
                <w:highlight w:val="none"/>
                <w:u w:val="single"/>
                <w:lang w:val="en-GB"/>
              </w:rPr>
              <w:t xml:space="preserve">  </w:t>
            </w:r>
            <w:r>
              <w:rPr>
                <w:rFonts w:hint="eastAsia" w:ascii="宋体" w:hAnsi="宋体"/>
                <w:b/>
                <w:szCs w:val="21"/>
                <w:highlight w:val="none"/>
                <w:lang w:val="en-GB"/>
              </w:rPr>
              <w:t>条第</w:t>
            </w:r>
            <w:r>
              <w:rPr>
                <w:rFonts w:hint="eastAsia" w:ascii="宋体" w:hAnsi="宋体"/>
                <w:b/>
                <w:szCs w:val="21"/>
                <w:highlight w:val="none"/>
                <w:u w:val="single"/>
                <w:lang w:val="en-GB"/>
              </w:rPr>
              <w:t xml:space="preserve">  </w:t>
            </w:r>
            <w:r>
              <w:rPr>
                <w:rFonts w:hint="eastAsia" w:ascii="宋体" w:hAnsi="宋体"/>
                <w:b/>
                <w:szCs w:val="21"/>
                <w:highlight w:val="none"/>
                <w:lang w:val="en-GB"/>
              </w:rPr>
              <w:t>款</w:t>
            </w:r>
          </w:p>
        </w:tc>
        <w:tc>
          <w:tcPr>
            <w:tcW w:w="1366" w:type="pct"/>
            <w:vAlign w:val="center"/>
          </w:tcPr>
          <w:p w14:paraId="1822C453">
            <w:pPr>
              <w:jc w:val="center"/>
              <w:rPr>
                <w:rFonts w:ascii="宋体" w:hAnsi="宋体"/>
                <w:b/>
                <w:szCs w:val="21"/>
                <w:highlight w:val="none"/>
                <w:lang w:val="en-GB"/>
              </w:rPr>
            </w:pPr>
            <w:r>
              <w:rPr>
                <w:rFonts w:hint="eastAsia" w:ascii="宋体" w:hAnsi="宋体"/>
                <w:b/>
                <w:szCs w:val="21"/>
                <w:highlight w:val="none"/>
                <w:lang w:val="en-GB"/>
              </w:rPr>
              <w:t>合同条款描述</w:t>
            </w:r>
          </w:p>
        </w:tc>
        <w:tc>
          <w:tcPr>
            <w:tcW w:w="1639" w:type="pct"/>
            <w:vAlign w:val="center"/>
          </w:tcPr>
          <w:p w14:paraId="41A106FE">
            <w:pPr>
              <w:jc w:val="center"/>
              <w:rPr>
                <w:rFonts w:ascii="宋体" w:hAnsi="宋体"/>
                <w:b/>
                <w:szCs w:val="21"/>
                <w:highlight w:val="none"/>
                <w:lang w:val="en-GB"/>
              </w:rPr>
            </w:pPr>
            <w:r>
              <w:rPr>
                <w:rFonts w:hint="eastAsia" w:ascii="宋体" w:hAnsi="宋体"/>
                <w:b/>
                <w:szCs w:val="21"/>
                <w:highlight w:val="none"/>
                <w:lang w:val="en-GB"/>
              </w:rPr>
              <w:t>偏离内容</w:t>
            </w:r>
          </w:p>
        </w:tc>
      </w:tr>
      <w:tr w14:paraId="7F4E0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4" w:hRule="atLeast"/>
          <w:jc w:val="center"/>
        </w:trPr>
        <w:tc>
          <w:tcPr>
            <w:tcW w:w="720" w:type="pct"/>
            <w:vAlign w:val="center"/>
          </w:tcPr>
          <w:p w14:paraId="6808139E">
            <w:pPr>
              <w:jc w:val="center"/>
              <w:rPr>
                <w:rFonts w:ascii="宋体" w:hAnsi="宋体"/>
                <w:szCs w:val="21"/>
                <w:highlight w:val="none"/>
              </w:rPr>
            </w:pPr>
          </w:p>
        </w:tc>
        <w:tc>
          <w:tcPr>
            <w:tcW w:w="1275" w:type="pct"/>
            <w:vAlign w:val="center"/>
          </w:tcPr>
          <w:p w14:paraId="63CB3DF4">
            <w:pPr>
              <w:jc w:val="center"/>
              <w:rPr>
                <w:rFonts w:ascii="宋体" w:hAnsi="宋体"/>
                <w:szCs w:val="21"/>
                <w:highlight w:val="none"/>
              </w:rPr>
            </w:pPr>
          </w:p>
        </w:tc>
        <w:tc>
          <w:tcPr>
            <w:tcW w:w="1366" w:type="pct"/>
            <w:vAlign w:val="center"/>
          </w:tcPr>
          <w:p w14:paraId="04B055E8">
            <w:pPr>
              <w:jc w:val="center"/>
              <w:rPr>
                <w:rFonts w:ascii="宋体" w:hAnsi="宋体"/>
                <w:szCs w:val="21"/>
                <w:highlight w:val="none"/>
              </w:rPr>
            </w:pPr>
          </w:p>
        </w:tc>
        <w:tc>
          <w:tcPr>
            <w:tcW w:w="1639" w:type="pct"/>
            <w:vAlign w:val="center"/>
          </w:tcPr>
          <w:p w14:paraId="524B7E8E">
            <w:pPr>
              <w:jc w:val="center"/>
              <w:rPr>
                <w:rFonts w:ascii="宋体" w:hAnsi="宋体"/>
                <w:szCs w:val="21"/>
                <w:highlight w:val="none"/>
              </w:rPr>
            </w:pPr>
          </w:p>
        </w:tc>
      </w:tr>
      <w:tr w14:paraId="0114E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20" w:hRule="atLeast"/>
          <w:jc w:val="center"/>
        </w:trPr>
        <w:tc>
          <w:tcPr>
            <w:tcW w:w="720" w:type="pct"/>
            <w:vAlign w:val="center"/>
          </w:tcPr>
          <w:p w14:paraId="5BB11366">
            <w:pPr>
              <w:jc w:val="center"/>
              <w:rPr>
                <w:rFonts w:ascii="宋体" w:hAnsi="宋体"/>
                <w:szCs w:val="21"/>
                <w:highlight w:val="none"/>
              </w:rPr>
            </w:pPr>
          </w:p>
        </w:tc>
        <w:tc>
          <w:tcPr>
            <w:tcW w:w="1275" w:type="pct"/>
            <w:vAlign w:val="center"/>
          </w:tcPr>
          <w:p w14:paraId="5389FC53">
            <w:pPr>
              <w:jc w:val="center"/>
              <w:rPr>
                <w:rFonts w:ascii="宋体" w:hAnsi="宋体"/>
                <w:szCs w:val="21"/>
                <w:highlight w:val="none"/>
              </w:rPr>
            </w:pPr>
          </w:p>
        </w:tc>
        <w:tc>
          <w:tcPr>
            <w:tcW w:w="1366" w:type="pct"/>
            <w:vAlign w:val="center"/>
          </w:tcPr>
          <w:p w14:paraId="7C7E6D8F">
            <w:pPr>
              <w:jc w:val="center"/>
              <w:rPr>
                <w:rFonts w:ascii="宋体" w:hAnsi="宋体"/>
                <w:szCs w:val="21"/>
                <w:highlight w:val="none"/>
              </w:rPr>
            </w:pPr>
          </w:p>
        </w:tc>
        <w:tc>
          <w:tcPr>
            <w:tcW w:w="1639" w:type="pct"/>
            <w:vAlign w:val="center"/>
          </w:tcPr>
          <w:p w14:paraId="60359D86">
            <w:pPr>
              <w:jc w:val="center"/>
              <w:rPr>
                <w:rFonts w:ascii="宋体" w:hAnsi="宋体"/>
                <w:szCs w:val="21"/>
                <w:highlight w:val="none"/>
              </w:rPr>
            </w:pPr>
          </w:p>
        </w:tc>
      </w:tr>
    </w:tbl>
    <w:p w14:paraId="14CD7F94">
      <w:pPr>
        <w:wordWrap w:val="0"/>
        <w:adjustRightInd w:val="0"/>
        <w:snapToGrid w:val="0"/>
        <w:spacing w:line="360" w:lineRule="auto"/>
        <w:jc w:val="right"/>
        <w:rPr>
          <w:rFonts w:hAnsi="宋体"/>
          <w:sz w:val="24"/>
          <w:highlight w:val="none"/>
        </w:rPr>
      </w:pPr>
    </w:p>
    <w:p w14:paraId="1AC16583">
      <w:pPr>
        <w:spacing w:line="360" w:lineRule="auto"/>
        <w:ind w:firstLine="420" w:firstLineChars="200"/>
        <w:jc w:val="left"/>
        <w:rPr>
          <w:rFonts w:ascii="宋体" w:hAnsi="宋体"/>
          <w:highlight w:val="none"/>
        </w:rPr>
      </w:pPr>
      <w:r>
        <w:rPr>
          <w:rFonts w:hint="eastAsia" w:ascii="宋体" w:hAnsi="宋体"/>
          <w:highlight w:val="none"/>
        </w:rPr>
        <w:t>请对“第五章</w:t>
      </w:r>
      <w:r>
        <w:rPr>
          <w:rFonts w:hint="eastAsia" w:ascii="宋体" w:hAnsi="宋体"/>
          <w:szCs w:val="21"/>
          <w:highlight w:val="none"/>
          <w:lang w:val="en-US" w:eastAsia="zh-CN"/>
        </w:rPr>
        <w:t>采购需求</w:t>
      </w:r>
      <w:r>
        <w:rPr>
          <w:rFonts w:hint="eastAsia" w:ascii="宋体" w:hAnsi="宋体"/>
          <w:highlight w:val="none"/>
        </w:rPr>
        <w:t>”内容按下述格式进行汇总应答，评审委员会将对存在答复“不满足”的投标人做废标处理。</w:t>
      </w:r>
    </w:p>
    <w:p w14:paraId="38B3CC10">
      <w:pPr>
        <w:spacing w:line="360" w:lineRule="auto"/>
        <w:ind w:firstLine="422" w:firstLineChars="200"/>
        <w:jc w:val="left"/>
        <w:rPr>
          <w:rFonts w:ascii="宋体" w:hAnsi="宋体"/>
          <w:b/>
          <w:szCs w:val="21"/>
          <w:highlight w:val="none"/>
        </w:rPr>
      </w:pPr>
      <w:r>
        <w:rPr>
          <w:rFonts w:hint="eastAsia" w:ascii="宋体" w:hAnsi="宋体"/>
          <w:b/>
          <w:szCs w:val="21"/>
          <w:highlight w:val="none"/>
        </w:rPr>
        <w:t>（一）技术要求的汇总应答</w:t>
      </w:r>
    </w:p>
    <w:p w14:paraId="155E1E78">
      <w:pPr>
        <w:spacing w:line="360" w:lineRule="auto"/>
        <w:ind w:firstLine="420" w:firstLineChars="200"/>
        <w:jc w:val="left"/>
        <w:rPr>
          <w:rFonts w:ascii="宋体" w:hAnsi="宋体"/>
          <w:szCs w:val="21"/>
          <w:highlight w:val="none"/>
        </w:rPr>
      </w:pPr>
      <w:r>
        <w:rPr>
          <w:rFonts w:hint="eastAsia" w:ascii="宋体" w:hAnsi="宋体"/>
          <w:szCs w:val="21"/>
          <w:highlight w:val="none"/>
        </w:rPr>
        <w:t>1、若对“第五章</w:t>
      </w:r>
      <w:r>
        <w:rPr>
          <w:rFonts w:hint="eastAsia" w:ascii="宋体" w:hAnsi="宋体"/>
          <w:szCs w:val="21"/>
          <w:highlight w:val="none"/>
          <w:lang w:val="en-US" w:eastAsia="zh-CN"/>
        </w:rPr>
        <w:t>采购需求</w:t>
      </w:r>
      <w:r>
        <w:rPr>
          <w:rFonts w:hint="eastAsia" w:ascii="宋体" w:hAnsi="宋体"/>
          <w:szCs w:val="21"/>
          <w:highlight w:val="none"/>
        </w:rPr>
        <w:t>”</w:t>
      </w:r>
      <w:r>
        <w:rPr>
          <w:rFonts w:hint="eastAsia" w:ascii="宋体" w:hAnsi="宋体"/>
          <w:highlight w:val="none"/>
        </w:rPr>
        <w:t>内容</w:t>
      </w:r>
      <w:r>
        <w:rPr>
          <w:rFonts w:hint="eastAsia" w:ascii="宋体" w:hAnsi="宋体"/>
          <w:szCs w:val="21"/>
          <w:highlight w:val="none"/>
        </w:rPr>
        <w:t>全部满足，请在下方应答</w:t>
      </w:r>
      <w:r>
        <w:rPr>
          <w:rFonts w:hint="eastAsia" w:ascii="宋体" w:hAnsi="宋体"/>
          <w:b/>
          <w:szCs w:val="21"/>
          <w:highlight w:val="none"/>
        </w:rPr>
        <w:t>“全部满足”</w:t>
      </w:r>
      <w:r>
        <w:rPr>
          <w:rFonts w:hint="eastAsia" w:ascii="宋体" w:hAnsi="宋体"/>
          <w:szCs w:val="21"/>
          <w:highlight w:val="none"/>
        </w:rPr>
        <w:t>。</w:t>
      </w:r>
    </w:p>
    <w:p w14:paraId="182C4291">
      <w:pPr>
        <w:spacing w:line="360" w:lineRule="auto"/>
        <w:ind w:firstLine="422" w:firstLineChars="200"/>
        <w:jc w:val="left"/>
        <w:rPr>
          <w:rFonts w:ascii="宋体" w:hAnsi="宋体"/>
          <w:b/>
          <w:szCs w:val="21"/>
          <w:highlight w:val="none"/>
          <w:u w:val="single"/>
        </w:rPr>
      </w:pPr>
      <w:r>
        <w:rPr>
          <w:rFonts w:hint="eastAsia" w:ascii="宋体" w:hAnsi="宋体"/>
          <w:b/>
          <w:szCs w:val="21"/>
          <w:highlight w:val="none"/>
        </w:rPr>
        <w:t>对第五章的</w:t>
      </w:r>
      <w:r>
        <w:rPr>
          <w:rFonts w:hint="eastAsia" w:ascii="宋体" w:hAnsi="宋体"/>
          <w:b/>
          <w:szCs w:val="21"/>
          <w:highlight w:val="none"/>
          <w:lang w:val="en-US" w:eastAsia="zh-CN"/>
        </w:rPr>
        <w:t>采购需求</w:t>
      </w:r>
      <w:r>
        <w:rPr>
          <w:rFonts w:hint="eastAsia" w:ascii="宋体" w:hAnsi="宋体"/>
          <w:b/>
          <w:szCs w:val="21"/>
          <w:highlight w:val="none"/>
        </w:rPr>
        <w:t>应答：</w:t>
      </w:r>
      <w:r>
        <w:rPr>
          <w:rFonts w:hint="eastAsia" w:ascii="宋体" w:hAnsi="宋体"/>
          <w:b/>
          <w:szCs w:val="21"/>
          <w:highlight w:val="none"/>
          <w:u w:val="single"/>
        </w:rPr>
        <w:t xml:space="preserve">                                    </w:t>
      </w:r>
    </w:p>
    <w:p w14:paraId="4A12DBEB">
      <w:pPr>
        <w:spacing w:line="360" w:lineRule="auto"/>
        <w:ind w:firstLine="420" w:firstLineChars="200"/>
        <w:jc w:val="left"/>
        <w:rPr>
          <w:rFonts w:cs="宋体"/>
          <w:szCs w:val="21"/>
          <w:highlight w:val="none"/>
        </w:rPr>
      </w:pPr>
      <w:r>
        <w:rPr>
          <w:rFonts w:hint="eastAsia" w:cs="宋体"/>
          <w:szCs w:val="21"/>
          <w:highlight w:val="none"/>
        </w:rPr>
        <w:t>详细列明，</w:t>
      </w:r>
      <w:r>
        <w:rPr>
          <w:rFonts w:hint="eastAsia" w:cs="宋体"/>
          <w:szCs w:val="21"/>
          <w:highlight w:val="none"/>
          <w:lang w:val="en-US" w:eastAsia="zh-CN"/>
        </w:rPr>
        <w:t>是否响应填写“完全响应”或“不响应”，</w:t>
      </w:r>
      <w:r>
        <w:rPr>
          <w:rFonts w:hint="eastAsia" w:cs="宋体"/>
          <w:szCs w:val="21"/>
          <w:highlight w:val="none"/>
        </w:rPr>
        <w:t>偏离</w:t>
      </w:r>
      <w:r>
        <w:rPr>
          <w:rFonts w:hint="eastAsia" w:cs="宋体"/>
          <w:szCs w:val="21"/>
          <w:highlight w:val="none"/>
          <w:lang w:val="en-US" w:eastAsia="zh-CN"/>
        </w:rPr>
        <w:t>内容如有不响应则具体填写，响应则不用填写</w:t>
      </w:r>
      <w:r>
        <w:rPr>
          <w:rFonts w:hint="eastAsia" w:cs="宋体"/>
          <w:szCs w:val="21"/>
          <w:highlight w:val="none"/>
        </w:rPr>
        <w:t>。</w:t>
      </w:r>
    </w:p>
    <w:tbl>
      <w:tblPr>
        <w:tblStyle w:val="33"/>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1092"/>
        <w:gridCol w:w="3045"/>
        <w:gridCol w:w="1901"/>
        <w:gridCol w:w="2247"/>
      </w:tblGrid>
      <w:tr w14:paraId="5A0F4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6" w:hRule="atLeast"/>
          <w:jc w:val="center"/>
        </w:trPr>
        <w:tc>
          <w:tcPr>
            <w:tcW w:w="659" w:type="pct"/>
            <w:vAlign w:val="center"/>
          </w:tcPr>
          <w:p w14:paraId="0A0B92B8">
            <w:pPr>
              <w:jc w:val="center"/>
              <w:rPr>
                <w:rFonts w:ascii="宋体" w:hAnsi="宋体"/>
                <w:b/>
                <w:szCs w:val="21"/>
                <w:highlight w:val="none"/>
                <w:lang w:val="en-GB"/>
              </w:rPr>
            </w:pPr>
            <w:r>
              <w:rPr>
                <w:rFonts w:hint="eastAsia" w:ascii="宋体" w:hAnsi="宋体"/>
                <w:b/>
                <w:szCs w:val="21"/>
                <w:highlight w:val="none"/>
                <w:lang w:val="en-GB"/>
              </w:rPr>
              <w:t>序号</w:t>
            </w:r>
          </w:p>
        </w:tc>
        <w:tc>
          <w:tcPr>
            <w:tcW w:w="1837" w:type="pct"/>
            <w:vAlign w:val="center"/>
          </w:tcPr>
          <w:p w14:paraId="37D81396">
            <w:pPr>
              <w:jc w:val="center"/>
              <w:rPr>
                <w:rFonts w:ascii="宋体" w:hAnsi="宋体"/>
                <w:b/>
                <w:szCs w:val="21"/>
                <w:highlight w:val="none"/>
                <w:lang w:val="en-GB"/>
              </w:rPr>
            </w:pPr>
            <w:r>
              <w:rPr>
                <w:rFonts w:hint="eastAsia" w:ascii="宋体" w:hAnsi="宋体"/>
                <w:b/>
                <w:szCs w:val="21"/>
                <w:highlight w:val="none"/>
                <w:lang w:val="en-GB"/>
              </w:rPr>
              <w:t>第五章</w:t>
            </w:r>
            <w:r>
              <w:rPr>
                <w:rFonts w:hint="eastAsia" w:ascii="宋体" w:hAnsi="宋体"/>
                <w:b/>
                <w:szCs w:val="21"/>
                <w:highlight w:val="none"/>
                <w:lang w:val="en-GB" w:eastAsia="zh-CN"/>
              </w:rPr>
              <w:t>采购需求</w:t>
            </w:r>
          </w:p>
        </w:tc>
        <w:tc>
          <w:tcPr>
            <w:tcW w:w="1147" w:type="pct"/>
            <w:tcBorders>
              <w:right w:val="single" w:color="auto" w:sz="4" w:space="0"/>
            </w:tcBorders>
            <w:vAlign w:val="center"/>
          </w:tcPr>
          <w:p w14:paraId="5BF97425">
            <w:pPr>
              <w:jc w:val="center"/>
              <w:rPr>
                <w:rFonts w:hint="eastAsia" w:ascii="宋体" w:hAnsi="宋体" w:eastAsia="宋体"/>
                <w:b/>
                <w:szCs w:val="21"/>
                <w:highlight w:val="none"/>
                <w:lang w:val="en-US" w:eastAsia="zh-CN"/>
              </w:rPr>
            </w:pPr>
            <w:r>
              <w:rPr>
                <w:rFonts w:hint="eastAsia" w:ascii="宋体" w:hAnsi="宋体"/>
                <w:b/>
                <w:szCs w:val="21"/>
                <w:highlight w:val="none"/>
                <w:lang w:val="en-US" w:eastAsia="zh-CN"/>
              </w:rPr>
              <w:t>是否响应</w:t>
            </w:r>
          </w:p>
        </w:tc>
        <w:tc>
          <w:tcPr>
            <w:tcW w:w="1356" w:type="pct"/>
            <w:tcBorders>
              <w:left w:val="single" w:color="auto" w:sz="4" w:space="0"/>
            </w:tcBorders>
            <w:vAlign w:val="center"/>
          </w:tcPr>
          <w:p w14:paraId="5B95B367">
            <w:pPr>
              <w:jc w:val="center"/>
              <w:rPr>
                <w:rFonts w:hint="eastAsia" w:ascii="宋体" w:hAnsi="宋体"/>
                <w:b/>
                <w:szCs w:val="21"/>
                <w:highlight w:val="none"/>
                <w:lang w:val="en-GB"/>
              </w:rPr>
            </w:pPr>
            <w:r>
              <w:rPr>
                <w:rFonts w:hint="eastAsia" w:ascii="宋体" w:hAnsi="宋体"/>
                <w:b/>
                <w:szCs w:val="21"/>
                <w:highlight w:val="none"/>
                <w:lang w:val="en-GB"/>
              </w:rPr>
              <w:t>偏离内容</w:t>
            </w:r>
          </w:p>
        </w:tc>
      </w:tr>
      <w:tr w14:paraId="39547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4" w:hRule="atLeast"/>
          <w:jc w:val="center"/>
        </w:trPr>
        <w:tc>
          <w:tcPr>
            <w:tcW w:w="659" w:type="pct"/>
            <w:vAlign w:val="center"/>
          </w:tcPr>
          <w:p w14:paraId="36963DCD">
            <w:pPr>
              <w:jc w:val="center"/>
              <w:rPr>
                <w:rFonts w:ascii="宋体" w:hAnsi="宋体"/>
                <w:szCs w:val="21"/>
                <w:highlight w:val="none"/>
              </w:rPr>
            </w:pPr>
          </w:p>
        </w:tc>
        <w:tc>
          <w:tcPr>
            <w:tcW w:w="1837" w:type="pct"/>
            <w:vAlign w:val="center"/>
          </w:tcPr>
          <w:p w14:paraId="05D17F26">
            <w:pPr>
              <w:jc w:val="center"/>
              <w:rPr>
                <w:rFonts w:ascii="宋体" w:hAnsi="宋体"/>
                <w:szCs w:val="21"/>
                <w:highlight w:val="none"/>
              </w:rPr>
            </w:pPr>
          </w:p>
        </w:tc>
        <w:tc>
          <w:tcPr>
            <w:tcW w:w="1147" w:type="pct"/>
            <w:tcBorders>
              <w:right w:val="single" w:color="auto" w:sz="4" w:space="0"/>
            </w:tcBorders>
            <w:vAlign w:val="center"/>
          </w:tcPr>
          <w:p w14:paraId="0E1FA93F">
            <w:pPr>
              <w:jc w:val="center"/>
              <w:rPr>
                <w:rFonts w:ascii="宋体" w:hAnsi="宋体"/>
                <w:szCs w:val="21"/>
                <w:highlight w:val="none"/>
              </w:rPr>
            </w:pPr>
          </w:p>
        </w:tc>
        <w:tc>
          <w:tcPr>
            <w:tcW w:w="1356" w:type="pct"/>
            <w:tcBorders>
              <w:left w:val="single" w:color="auto" w:sz="4" w:space="0"/>
            </w:tcBorders>
            <w:vAlign w:val="center"/>
          </w:tcPr>
          <w:p w14:paraId="1084B661">
            <w:pPr>
              <w:jc w:val="center"/>
              <w:rPr>
                <w:rFonts w:ascii="宋体" w:hAnsi="宋体"/>
                <w:szCs w:val="21"/>
                <w:highlight w:val="none"/>
              </w:rPr>
            </w:pPr>
          </w:p>
        </w:tc>
      </w:tr>
      <w:tr w14:paraId="5B5C1C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37" w:hRule="atLeast"/>
          <w:jc w:val="center"/>
        </w:trPr>
        <w:tc>
          <w:tcPr>
            <w:tcW w:w="659" w:type="pct"/>
            <w:vAlign w:val="center"/>
          </w:tcPr>
          <w:p w14:paraId="3F9AF725">
            <w:pPr>
              <w:jc w:val="center"/>
              <w:rPr>
                <w:rFonts w:ascii="宋体" w:hAnsi="宋体"/>
                <w:szCs w:val="21"/>
                <w:highlight w:val="none"/>
              </w:rPr>
            </w:pPr>
          </w:p>
        </w:tc>
        <w:tc>
          <w:tcPr>
            <w:tcW w:w="1837" w:type="pct"/>
            <w:vAlign w:val="center"/>
          </w:tcPr>
          <w:p w14:paraId="15D66554">
            <w:pPr>
              <w:jc w:val="center"/>
              <w:rPr>
                <w:rFonts w:ascii="宋体" w:hAnsi="宋体"/>
                <w:szCs w:val="21"/>
                <w:highlight w:val="none"/>
              </w:rPr>
            </w:pPr>
          </w:p>
        </w:tc>
        <w:tc>
          <w:tcPr>
            <w:tcW w:w="1147" w:type="pct"/>
            <w:tcBorders>
              <w:right w:val="single" w:color="auto" w:sz="4" w:space="0"/>
            </w:tcBorders>
            <w:vAlign w:val="center"/>
          </w:tcPr>
          <w:p w14:paraId="2C7C02C4">
            <w:pPr>
              <w:jc w:val="center"/>
              <w:rPr>
                <w:rFonts w:ascii="宋体" w:hAnsi="宋体"/>
                <w:szCs w:val="21"/>
                <w:highlight w:val="none"/>
              </w:rPr>
            </w:pPr>
          </w:p>
        </w:tc>
        <w:tc>
          <w:tcPr>
            <w:tcW w:w="1356" w:type="pct"/>
            <w:tcBorders>
              <w:left w:val="single" w:color="auto" w:sz="4" w:space="0"/>
            </w:tcBorders>
            <w:vAlign w:val="center"/>
          </w:tcPr>
          <w:p w14:paraId="229C950F">
            <w:pPr>
              <w:jc w:val="center"/>
              <w:rPr>
                <w:rFonts w:ascii="宋体" w:hAnsi="宋体"/>
                <w:szCs w:val="21"/>
                <w:highlight w:val="none"/>
              </w:rPr>
            </w:pPr>
          </w:p>
        </w:tc>
      </w:tr>
    </w:tbl>
    <w:p w14:paraId="42B7AD03">
      <w:pPr>
        <w:spacing w:line="360" w:lineRule="auto"/>
        <w:ind w:firstLine="3465" w:firstLineChars="1650"/>
        <w:rPr>
          <w:rFonts w:ascii="宋体" w:hAnsi="宋体"/>
          <w:szCs w:val="21"/>
          <w:highlight w:val="none"/>
        </w:rPr>
      </w:pPr>
    </w:p>
    <w:p w14:paraId="5CE4E0D6">
      <w:pPr>
        <w:adjustRightInd w:val="0"/>
        <w:snapToGrid w:val="0"/>
        <w:spacing w:line="360" w:lineRule="auto"/>
        <w:jc w:val="right"/>
        <w:rPr>
          <w:rFonts w:hAnsi="宋体"/>
          <w:sz w:val="24"/>
          <w:highlight w:val="none"/>
        </w:rPr>
      </w:pPr>
    </w:p>
    <w:p w14:paraId="154850DC">
      <w:pPr>
        <w:adjustRightInd w:val="0"/>
        <w:snapToGrid w:val="0"/>
        <w:spacing w:line="360" w:lineRule="auto"/>
        <w:jc w:val="right"/>
        <w:rPr>
          <w:szCs w:val="21"/>
          <w:highlight w:val="none"/>
        </w:rPr>
      </w:pPr>
      <w:r>
        <w:rPr>
          <w:rFonts w:hint="eastAsia" w:hAnsi="宋体"/>
          <w:szCs w:val="21"/>
          <w:highlight w:val="none"/>
          <w:lang w:val="en-US" w:eastAsia="zh-CN"/>
        </w:rPr>
        <w:t>供应商</w:t>
      </w:r>
      <w:r>
        <w:rPr>
          <w:rFonts w:hAnsi="宋体"/>
          <w:szCs w:val="21"/>
          <w:highlight w:val="none"/>
        </w:rPr>
        <w:t>名称：</w:t>
      </w:r>
      <w:r>
        <w:rPr>
          <w:szCs w:val="21"/>
          <w:highlight w:val="none"/>
          <w:u w:val="single"/>
        </w:rPr>
        <w:t xml:space="preserve">                      </w:t>
      </w:r>
      <w:r>
        <w:rPr>
          <w:rFonts w:hAnsi="宋体"/>
          <w:szCs w:val="21"/>
          <w:highlight w:val="none"/>
        </w:rPr>
        <w:t>（盖单位章）</w:t>
      </w:r>
    </w:p>
    <w:p w14:paraId="4F9D5CE9">
      <w:pPr>
        <w:adjustRightInd w:val="0"/>
        <w:snapToGrid w:val="0"/>
        <w:spacing w:line="360" w:lineRule="auto"/>
        <w:ind w:left="3391" w:leftChars="1615" w:firstLine="420" w:firstLineChars="200"/>
        <w:rPr>
          <w:szCs w:val="21"/>
          <w:highlight w:val="none"/>
        </w:rPr>
      </w:pPr>
      <w:r>
        <w:rPr>
          <w:rFonts w:hAnsi="宋体"/>
          <w:szCs w:val="21"/>
          <w:highlight w:val="none"/>
        </w:rPr>
        <w:t>法定代表人或其委托代理人：</w:t>
      </w:r>
      <w:r>
        <w:rPr>
          <w:szCs w:val="21"/>
          <w:highlight w:val="none"/>
          <w:u w:val="single"/>
        </w:rPr>
        <w:t xml:space="preserve">           </w:t>
      </w:r>
      <w:r>
        <w:rPr>
          <w:rFonts w:hAnsi="宋体"/>
          <w:szCs w:val="21"/>
          <w:highlight w:val="none"/>
        </w:rPr>
        <w:t>（签字）</w:t>
      </w:r>
    </w:p>
    <w:p w14:paraId="0158DCCE">
      <w:pPr>
        <w:adjustRightInd w:val="0"/>
        <w:snapToGrid w:val="0"/>
        <w:spacing w:line="360" w:lineRule="auto"/>
        <w:jc w:val="right"/>
        <w:rPr>
          <w:rFonts w:hAnsi="宋体"/>
          <w:szCs w:val="21"/>
          <w:highlight w:val="none"/>
        </w:rPr>
      </w:pPr>
      <w:r>
        <w:rPr>
          <w:szCs w:val="21"/>
          <w:highlight w:val="none"/>
          <w:u w:val="single"/>
        </w:rPr>
        <w:t xml:space="preserve">       </w:t>
      </w:r>
      <w:r>
        <w:rPr>
          <w:rFonts w:hAnsi="宋体"/>
          <w:szCs w:val="21"/>
          <w:highlight w:val="none"/>
        </w:rPr>
        <w:t>年</w:t>
      </w:r>
      <w:r>
        <w:rPr>
          <w:szCs w:val="21"/>
          <w:highlight w:val="none"/>
          <w:u w:val="single"/>
        </w:rPr>
        <w:t xml:space="preserve">       </w:t>
      </w:r>
      <w:r>
        <w:rPr>
          <w:rFonts w:hAnsi="宋体"/>
          <w:szCs w:val="21"/>
          <w:highlight w:val="none"/>
        </w:rPr>
        <w:t>月</w:t>
      </w:r>
      <w:r>
        <w:rPr>
          <w:szCs w:val="21"/>
          <w:highlight w:val="none"/>
          <w:u w:val="single"/>
        </w:rPr>
        <w:t xml:space="preserve">       </w:t>
      </w:r>
      <w:r>
        <w:rPr>
          <w:rFonts w:hAnsi="宋体"/>
          <w:szCs w:val="21"/>
          <w:highlight w:val="none"/>
        </w:rPr>
        <w:t>日</w:t>
      </w:r>
    </w:p>
    <w:p w14:paraId="52BE2CEE">
      <w:pPr>
        <w:spacing w:line="360" w:lineRule="auto"/>
        <w:rPr>
          <w:rFonts w:hint="eastAsia" w:ascii="宋体" w:hAnsi="宋体" w:cs="宋体"/>
          <w:szCs w:val="21"/>
          <w:highlight w:val="none"/>
        </w:rPr>
      </w:pPr>
    </w:p>
    <w:p w14:paraId="469F1E87">
      <w:pPr>
        <w:spacing w:line="360" w:lineRule="auto"/>
        <w:rPr>
          <w:rFonts w:hint="eastAsia" w:ascii="宋体" w:hAnsi="宋体" w:cs="宋体"/>
          <w:szCs w:val="21"/>
          <w:highlight w:val="none"/>
        </w:rPr>
      </w:pPr>
      <w:r>
        <w:rPr>
          <w:rFonts w:hint="eastAsia" w:ascii="宋体" w:hAnsi="宋体" w:cs="宋体"/>
          <w:szCs w:val="21"/>
          <w:highlight w:val="none"/>
        </w:rPr>
        <w:t>包括但不限于以下资料（</w:t>
      </w:r>
      <w:r>
        <w:rPr>
          <w:rFonts w:hint="eastAsia" w:ascii="宋体" w:hAnsi="宋体" w:cs="宋体"/>
          <w:szCs w:val="21"/>
          <w:highlight w:val="none"/>
          <w:lang w:val="en-US" w:eastAsia="zh-CN"/>
        </w:rPr>
        <w:t>根据评分办法要求</w:t>
      </w:r>
      <w:r>
        <w:rPr>
          <w:rFonts w:hint="eastAsia" w:ascii="宋体" w:hAnsi="宋体" w:cs="宋体"/>
          <w:szCs w:val="21"/>
          <w:highlight w:val="none"/>
        </w:rPr>
        <w:t>格式自拟）：</w:t>
      </w:r>
    </w:p>
    <w:p w14:paraId="1FFC963F">
      <w:pPr>
        <w:spacing w:line="360" w:lineRule="auto"/>
        <w:rPr>
          <w:rFonts w:hint="eastAsia" w:ascii="宋体" w:hAnsi="宋体" w:eastAsia="宋体" w:cs="宋体"/>
          <w:szCs w:val="21"/>
          <w:highlight w:val="none"/>
          <w:lang w:eastAsia="zh-CN"/>
        </w:rPr>
      </w:pPr>
      <w:r>
        <w:rPr>
          <w:rFonts w:hint="eastAsia" w:ascii="宋体" w:hAnsi="宋体" w:cs="宋体"/>
          <w:szCs w:val="21"/>
          <w:highlight w:val="none"/>
          <w:lang w:eastAsia="zh-CN"/>
        </w:rPr>
        <w:t>（</w:t>
      </w:r>
      <w:r>
        <w:rPr>
          <w:rFonts w:hint="eastAsia" w:ascii="宋体" w:hAnsi="宋体" w:cs="宋体"/>
          <w:szCs w:val="21"/>
          <w:highlight w:val="none"/>
          <w:lang w:val="en-US" w:eastAsia="zh-CN"/>
        </w:rPr>
        <w:t>1</w:t>
      </w:r>
      <w:r>
        <w:rPr>
          <w:rFonts w:hint="eastAsia" w:ascii="宋体" w:hAnsi="宋体" w:cs="宋体"/>
          <w:szCs w:val="21"/>
          <w:highlight w:val="none"/>
          <w:lang w:eastAsia="zh-CN"/>
        </w:rPr>
        <w:t>）</w:t>
      </w:r>
      <w:r>
        <w:rPr>
          <w:rFonts w:hint="eastAsia"/>
          <w:szCs w:val="21"/>
          <w:highlight w:val="none"/>
        </w:rPr>
        <w:t>供应商</w:t>
      </w:r>
      <w:r>
        <w:rPr>
          <w:rFonts w:hint="eastAsia" w:ascii="宋体" w:hAnsi="宋体" w:cs="宋体"/>
          <w:szCs w:val="21"/>
          <w:highlight w:val="none"/>
        </w:rPr>
        <w:t>认为需要提供的其他材料，格式自拟</w:t>
      </w:r>
      <w:r>
        <w:rPr>
          <w:rFonts w:hint="eastAsia" w:ascii="宋体" w:hAnsi="宋体" w:cs="宋体"/>
          <w:szCs w:val="21"/>
          <w:highlight w:val="none"/>
          <w:lang w:eastAsia="zh-CN"/>
        </w:rPr>
        <w:t>（企业实力、软著、项目团队等）</w:t>
      </w:r>
      <w:r>
        <w:rPr>
          <w:rFonts w:hint="eastAsia" w:ascii="宋体" w:hAnsi="宋体" w:cs="宋体"/>
          <w:szCs w:val="21"/>
          <w:highlight w:val="none"/>
        </w:rPr>
        <w:t>。</w:t>
      </w:r>
    </w:p>
    <w:p w14:paraId="4A30ED70">
      <w:pPr>
        <w:spacing w:line="360" w:lineRule="auto"/>
        <w:rPr>
          <w:rFonts w:hint="eastAsia" w:ascii="宋体" w:hAnsi="宋体" w:eastAsia="宋体" w:cs="宋体"/>
          <w:kern w:val="0"/>
          <w:szCs w:val="21"/>
          <w:highlight w:val="none"/>
          <w:lang w:eastAsia="zh-CN"/>
        </w:rPr>
      </w:pPr>
      <w:r>
        <w:rPr>
          <w:rFonts w:hint="eastAsia" w:ascii="宋体" w:hAnsi="宋体" w:cs="宋体"/>
          <w:szCs w:val="21"/>
          <w:highlight w:val="none"/>
        </w:rPr>
        <w:t>（</w:t>
      </w:r>
      <w:r>
        <w:rPr>
          <w:rFonts w:hint="eastAsia" w:ascii="宋体" w:hAnsi="宋体" w:cs="宋体"/>
          <w:szCs w:val="21"/>
          <w:highlight w:val="none"/>
          <w:lang w:val="en-US" w:eastAsia="zh-CN"/>
        </w:rPr>
        <w:t>2</w:t>
      </w:r>
      <w:r>
        <w:rPr>
          <w:rFonts w:hint="eastAsia" w:ascii="宋体" w:hAnsi="宋体" w:cs="宋体"/>
          <w:szCs w:val="21"/>
          <w:highlight w:val="none"/>
        </w:rPr>
        <w:t>）</w:t>
      </w:r>
      <w:r>
        <w:rPr>
          <w:rFonts w:hint="eastAsia" w:ascii="宋体" w:hAnsi="宋体" w:cs="宋体"/>
          <w:szCs w:val="21"/>
          <w:highlight w:val="none"/>
          <w:lang w:eastAsia="zh-CN"/>
        </w:rPr>
        <w:t>询比评分办法技术部分相关内容，格式自拟。</w:t>
      </w:r>
    </w:p>
    <w:p w14:paraId="19FA3463">
      <w:pPr>
        <w:spacing w:line="360" w:lineRule="auto"/>
        <w:rPr>
          <w:rFonts w:hint="eastAsia" w:ascii="宋体" w:hAnsi="宋体" w:cs="宋体"/>
          <w:kern w:val="0"/>
          <w:szCs w:val="21"/>
          <w:highlight w:val="none"/>
        </w:rPr>
      </w:pPr>
      <w:r>
        <w:rPr>
          <w:rFonts w:hint="eastAsia" w:ascii="宋体" w:hAnsi="宋体" w:cs="宋体"/>
          <w:kern w:val="0"/>
          <w:szCs w:val="21"/>
          <w:highlight w:val="none"/>
        </w:rPr>
        <w:t>（</w:t>
      </w:r>
      <w:r>
        <w:rPr>
          <w:rFonts w:hint="eastAsia" w:ascii="宋体" w:hAnsi="宋体" w:cs="宋体"/>
          <w:kern w:val="0"/>
          <w:szCs w:val="21"/>
          <w:highlight w:val="none"/>
          <w:lang w:val="en-US" w:eastAsia="zh-CN"/>
        </w:rPr>
        <w:t>3</w:t>
      </w:r>
      <w:r>
        <w:rPr>
          <w:rFonts w:hint="eastAsia" w:ascii="宋体" w:hAnsi="宋体" w:cs="宋体"/>
          <w:kern w:val="0"/>
          <w:szCs w:val="21"/>
          <w:highlight w:val="none"/>
        </w:rPr>
        <w:t>）其他。</w:t>
      </w:r>
    </w:p>
    <w:p w14:paraId="41B34EF9">
      <w:pPr>
        <w:spacing w:line="360" w:lineRule="auto"/>
        <w:rPr>
          <w:rFonts w:hint="eastAsia" w:ascii="宋体" w:hAnsi="宋体" w:cs="宋体"/>
          <w:kern w:val="0"/>
          <w:szCs w:val="21"/>
          <w:highlight w:val="none"/>
        </w:rPr>
      </w:pPr>
    </w:p>
    <w:p w14:paraId="57B0EC67">
      <w:pPr>
        <w:spacing w:line="360" w:lineRule="auto"/>
        <w:rPr>
          <w:rFonts w:hint="eastAsia" w:ascii="宋体" w:hAnsi="宋体" w:cs="宋体"/>
          <w:kern w:val="0"/>
          <w:szCs w:val="21"/>
          <w:highlight w:val="none"/>
        </w:rPr>
      </w:pPr>
    </w:p>
    <w:p w14:paraId="7A97132A">
      <w:pPr>
        <w:spacing w:line="360" w:lineRule="auto"/>
        <w:rPr>
          <w:rFonts w:hint="eastAsia" w:ascii="宋体" w:hAnsi="宋体" w:cs="宋体"/>
          <w:kern w:val="0"/>
          <w:szCs w:val="21"/>
          <w:highlight w:val="none"/>
        </w:rPr>
      </w:pPr>
    </w:p>
    <w:p w14:paraId="2E00C57B">
      <w:pPr>
        <w:spacing w:line="360" w:lineRule="auto"/>
        <w:rPr>
          <w:rFonts w:hint="eastAsia" w:ascii="宋体" w:hAnsi="宋体" w:cs="宋体"/>
          <w:b/>
          <w:szCs w:val="21"/>
          <w:highlight w:val="none"/>
        </w:rPr>
      </w:pPr>
      <w:r>
        <w:rPr>
          <w:rFonts w:hint="eastAsia" w:ascii="宋体" w:hAnsi="宋体" w:cs="宋体"/>
          <w:b/>
          <w:szCs w:val="21"/>
          <w:highlight w:val="none"/>
          <w:lang w:val="en-US" w:eastAsia="zh-CN"/>
        </w:rPr>
        <w:t>七、其他</w:t>
      </w:r>
      <w:r>
        <w:rPr>
          <w:rFonts w:hint="eastAsia" w:ascii="宋体" w:hAnsi="宋体" w:cs="宋体"/>
          <w:b/>
          <w:szCs w:val="21"/>
          <w:highlight w:val="none"/>
        </w:rPr>
        <w:br w:type="page"/>
      </w:r>
    </w:p>
    <w:p w14:paraId="6EA4D2A0">
      <w:pPr>
        <w:spacing w:line="560" w:lineRule="exact"/>
        <w:ind w:right="-153" w:rightChars="-73"/>
        <w:jc w:val="center"/>
        <w:rPr>
          <w:rFonts w:hint="eastAsia" w:ascii="宋体" w:hAnsi="宋体" w:cs="宋体"/>
          <w:b/>
          <w:sz w:val="52"/>
          <w:szCs w:val="48"/>
          <w:highlight w:val="none"/>
        </w:rPr>
      </w:pPr>
    </w:p>
    <w:p w14:paraId="44314740">
      <w:pPr>
        <w:spacing w:line="560" w:lineRule="exact"/>
        <w:ind w:right="-153" w:rightChars="-73"/>
        <w:jc w:val="center"/>
        <w:rPr>
          <w:rFonts w:hint="eastAsia" w:ascii="宋体" w:hAnsi="宋体" w:cs="宋体"/>
          <w:b/>
          <w:sz w:val="52"/>
          <w:szCs w:val="48"/>
          <w:highlight w:val="none"/>
        </w:rPr>
      </w:pPr>
    </w:p>
    <w:p w14:paraId="3187374B">
      <w:pPr>
        <w:spacing w:line="560" w:lineRule="exact"/>
        <w:ind w:right="-153" w:rightChars="-73"/>
        <w:jc w:val="center"/>
        <w:rPr>
          <w:rFonts w:hint="eastAsia" w:ascii="宋体" w:hAnsi="宋体" w:cs="宋体"/>
          <w:b/>
          <w:sz w:val="52"/>
          <w:szCs w:val="48"/>
          <w:highlight w:val="none"/>
        </w:rPr>
      </w:pPr>
    </w:p>
    <w:p w14:paraId="2B61184E">
      <w:pPr>
        <w:spacing w:line="560" w:lineRule="exact"/>
        <w:ind w:right="-153" w:rightChars="-73"/>
        <w:jc w:val="center"/>
        <w:rPr>
          <w:rFonts w:hint="eastAsia" w:ascii="宋体" w:hAnsi="宋体" w:cs="宋体"/>
          <w:b/>
          <w:sz w:val="52"/>
          <w:szCs w:val="48"/>
          <w:highlight w:val="none"/>
        </w:rPr>
      </w:pPr>
    </w:p>
    <w:p w14:paraId="46EE3CEE">
      <w:pPr>
        <w:spacing w:line="560" w:lineRule="exact"/>
        <w:ind w:right="-153" w:rightChars="-73"/>
        <w:jc w:val="center"/>
        <w:rPr>
          <w:rFonts w:hint="eastAsia" w:ascii="宋体" w:hAnsi="宋体" w:cs="宋体"/>
          <w:b/>
          <w:sz w:val="52"/>
          <w:szCs w:val="48"/>
          <w:highlight w:val="none"/>
        </w:rPr>
      </w:pPr>
    </w:p>
    <w:p w14:paraId="3CA45313">
      <w:pPr>
        <w:spacing w:line="560" w:lineRule="exact"/>
        <w:ind w:right="-153" w:rightChars="-73"/>
        <w:jc w:val="center"/>
        <w:rPr>
          <w:rFonts w:hint="eastAsia" w:ascii="宋体" w:hAnsi="宋体" w:cs="宋体"/>
          <w:b/>
          <w:sz w:val="52"/>
          <w:szCs w:val="48"/>
          <w:highlight w:val="none"/>
        </w:rPr>
      </w:pPr>
    </w:p>
    <w:p w14:paraId="0713C6DD">
      <w:pPr>
        <w:spacing w:line="560" w:lineRule="exact"/>
        <w:ind w:right="-153" w:rightChars="-73"/>
        <w:jc w:val="center"/>
        <w:outlineLvl w:val="0"/>
        <w:rPr>
          <w:rFonts w:hint="eastAsia" w:ascii="宋体" w:hAnsi="宋体" w:cs="宋体"/>
          <w:b/>
          <w:sz w:val="52"/>
          <w:szCs w:val="48"/>
          <w:highlight w:val="none"/>
        </w:rPr>
      </w:pPr>
      <w:bookmarkStart w:id="427" w:name="_Toc15246"/>
      <w:r>
        <w:rPr>
          <w:rFonts w:hint="eastAsia" w:ascii="宋体" w:hAnsi="宋体" w:cs="宋体"/>
          <w:b/>
          <w:sz w:val="52"/>
          <w:szCs w:val="48"/>
          <w:highlight w:val="none"/>
        </w:rPr>
        <w:t>第七章 其他内容</w:t>
      </w:r>
      <w:bookmarkEnd w:id="427"/>
    </w:p>
    <w:p w14:paraId="1CC0C04A">
      <w:pPr>
        <w:spacing w:line="560" w:lineRule="exact"/>
        <w:ind w:right="-153" w:rightChars="-73"/>
        <w:jc w:val="center"/>
        <w:rPr>
          <w:rFonts w:hint="eastAsia" w:ascii="宋体" w:hAnsi="宋体" w:cs="宋体"/>
          <w:b/>
          <w:szCs w:val="21"/>
          <w:highlight w:val="none"/>
        </w:rPr>
      </w:pPr>
    </w:p>
    <w:p w14:paraId="299D8C9C">
      <w:pPr>
        <w:spacing w:line="560" w:lineRule="exact"/>
        <w:ind w:right="-153" w:rightChars="-73"/>
        <w:jc w:val="center"/>
        <w:rPr>
          <w:rFonts w:hint="eastAsia" w:ascii="宋体" w:hAnsi="宋体" w:cs="宋体"/>
          <w:b/>
          <w:szCs w:val="21"/>
          <w:highlight w:val="none"/>
        </w:rPr>
      </w:pPr>
      <w:bookmarkStart w:id="428" w:name="_Toc18181"/>
      <w:r>
        <w:rPr>
          <w:rFonts w:hint="eastAsia" w:ascii="宋体" w:hAnsi="宋体" w:cs="宋体"/>
          <w:b/>
          <w:szCs w:val="21"/>
          <w:highlight w:val="none"/>
        </w:rPr>
        <w:t>1、未尽事宜按国家有关规定执行。</w:t>
      </w:r>
      <w:bookmarkEnd w:id="428"/>
    </w:p>
    <w:p w14:paraId="1C27F937">
      <w:pPr>
        <w:tabs>
          <w:tab w:val="left" w:pos="360"/>
        </w:tabs>
        <w:spacing w:after="319" w:afterLines="100" w:line="360" w:lineRule="auto"/>
        <w:jc w:val="center"/>
        <w:rPr>
          <w:rFonts w:hint="eastAsia" w:ascii="宋体" w:hAnsi="宋体" w:cs="宋体"/>
          <w:b/>
          <w:kern w:val="0"/>
          <w:sz w:val="24"/>
          <w:szCs w:val="21"/>
          <w:highlight w:val="none"/>
        </w:rPr>
      </w:pPr>
      <w:r>
        <w:rPr>
          <w:rFonts w:hint="eastAsia" w:ascii="宋体" w:hAnsi="宋体" w:cs="宋体"/>
          <w:b/>
          <w:szCs w:val="21"/>
          <w:highlight w:val="none"/>
        </w:rPr>
        <w:t xml:space="preserve">    2、本询比文件最终解释权归采购人。</w:t>
      </w:r>
    </w:p>
    <w:p w14:paraId="449083D4">
      <w:pPr>
        <w:tabs>
          <w:tab w:val="left" w:pos="360"/>
        </w:tabs>
        <w:spacing w:after="319" w:afterLines="100" w:line="360" w:lineRule="auto"/>
        <w:rPr>
          <w:rFonts w:hint="eastAsia" w:ascii="宋体" w:hAnsi="宋体" w:cs="宋体"/>
          <w:b/>
          <w:kern w:val="0"/>
          <w:sz w:val="24"/>
          <w:szCs w:val="21"/>
          <w:highlight w:val="none"/>
        </w:rPr>
      </w:pPr>
    </w:p>
    <w:p w14:paraId="771E357A">
      <w:pPr>
        <w:widowControl/>
        <w:spacing w:line="360" w:lineRule="auto"/>
        <w:ind w:left="420" w:leftChars="200"/>
        <w:jc w:val="left"/>
        <w:rPr>
          <w:rFonts w:hint="eastAsia" w:ascii="宋体" w:hAnsi="宋体" w:cs="宋体"/>
          <w:sz w:val="28"/>
          <w:szCs w:val="28"/>
          <w:highlight w:val="none"/>
        </w:rPr>
      </w:pPr>
    </w:p>
    <w:p w14:paraId="5CF684E0">
      <w:pPr>
        <w:widowControl/>
        <w:spacing w:line="360" w:lineRule="auto"/>
        <w:ind w:left="420" w:leftChars="200"/>
        <w:jc w:val="left"/>
        <w:rPr>
          <w:rFonts w:hint="eastAsia" w:ascii="宋体" w:hAnsi="宋体" w:cs="宋体"/>
          <w:sz w:val="28"/>
          <w:szCs w:val="28"/>
          <w:highlight w:val="none"/>
        </w:rPr>
      </w:pPr>
    </w:p>
    <w:bookmarkEnd w:id="429"/>
    <w:sectPr>
      <w:headerReference r:id="rId17" w:type="default"/>
      <w:pgSz w:w="11905" w:h="16838"/>
      <w:pgMar w:top="1440" w:right="1803" w:bottom="1440" w:left="1803" w:header="850"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serif">
    <w:altName w:val="Courier New"/>
    <w:panose1 w:val="00000000000000000000"/>
    <w:charset w:val="00"/>
    <w:family w:val="auto"/>
    <w:pitch w:val="default"/>
    <w:sig w:usb0="00000000" w:usb1="00000000" w:usb2="00000000" w:usb3="00000000" w:csb0="00000000" w:csb1="00000000"/>
  </w:font>
  <w:font w:name=".......">
    <w:altName w:val="宋体"/>
    <w:panose1 w:val="00000000000000000000"/>
    <w:charset w:val="86"/>
    <w:family w:val="roma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Microsoft JhengHei">
    <w:panose1 w:val="020B0604030504040204"/>
    <w:charset w:val="88"/>
    <w:family w:val="swiss"/>
    <w:pitch w:val="default"/>
    <w:sig w:usb0="00000087" w:usb1="28AF4000" w:usb2="00000016" w:usb3="00000000" w:csb0="00100009"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8D05A">
    <w:pPr>
      <w:pStyle w:val="21"/>
      <w:ind w:right="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03BE43">
                          <w:pPr>
                            <w:pStyle w:val="2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103BE43">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89FCE">
    <w:pPr>
      <w:pStyle w:val="21"/>
      <w:framePr w:wrap="around" w:vAnchor="text" w:hAnchor="margin" w:xAlign="right" w:y="1"/>
      <w:rPr>
        <w:rStyle w:val="37"/>
      </w:rPr>
    </w:pPr>
    <w:r>
      <w:fldChar w:fldCharType="begin"/>
    </w:r>
    <w:r>
      <w:rPr>
        <w:rStyle w:val="37"/>
      </w:rPr>
      <w:instrText xml:space="preserve">PAGE  </w:instrText>
    </w:r>
    <w:r>
      <w:fldChar w:fldCharType="end"/>
    </w:r>
  </w:p>
  <w:p w14:paraId="25C765A6">
    <w:pPr>
      <w:pStyle w:val="2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85979">
    <w:pPr>
      <w:pStyle w:val="21"/>
      <w:ind w:right="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937CF">
    <w:pPr>
      <w:pStyle w:val="21"/>
      <w:jc w:val="cente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A362F96">
                          <w:pPr>
                            <w:pStyle w:val="21"/>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5A362F96">
                    <w:pPr>
                      <w:pStyle w:val="21"/>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BBB3C">
    <w:pPr>
      <w:pStyle w:val="21"/>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98CC08">
                          <w:pPr>
                            <w:pStyle w:val="2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F98CC08">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DA3C9">
    <w:pPr>
      <w:pStyle w:val="21"/>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E8AF60">
                          <w:pPr>
                            <w:pStyle w:val="21"/>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1E8AF60">
                    <w:pPr>
                      <w:pStyle w:val="21"/>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A8236">
    <w:pPr>
      <w:pStyle w:val="21"/>
      <w:jc w:val="center"/>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9"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974AA2C">
                          <w:pPr>
                            <w:pStyle w:val="21"/>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wps:txbx>
                    <wps:bodyPr wrap="none" lIns="0" tIns="0" rIns="0" bIns="0">
                      <a:spAutoFit/>
                    </wps:bodyPr>
                  </wps:wsp>
                </a:graphicData>
              </a:graphic>
            </wp:anchor>
          </w:drawing>
        </mc:Choice>
        <mc:Fallback>
          <w:pict>
            <v:shape id="文本框 10"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B9t7TTywEAAJkDAAAOAAAAAAAAAAEAIAAAACIBAABkcnMv&#10;ZTJvRG9jLnhtbFBLBQYAAAAABgAGAFkBAABfBQAAAAA=&#10;">
              <v:fill on="f" focussize="0,0"/>
              <v:stroke on="f" weight="1.25pt"/>
              <v:imagedata o:title=""/>
              <o:lock v:ext="edit" aspectratio="f"/>
              <v:textbox inset="0mm,0mm,0mm,0mm" style="mso-fit-shape-to-text:t;">
                <w:txbxContent>
                  <w:p w14:paraId="2974AA2C">
                    <w:pPr>
                      <w:pStyle w:val="21"/>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E8B4B">
    <w:pPr>
      <w:pStyle w:val="23"/>
      <w:pBdr>
        <w:bottom w:val="none" w:color="auto" w:sz="0" w:space="1"/>
      </w:pBdr>
      <w:spacing w:line="240" w:lineRule="auto"/>
      <w:jc w:val="both"/>
      <w:rPr>
        <w:rFonts w:ascii="Cambria" w:hAnsi="Cambria" w:eastAsia="黑体"/>
        <w:b/>
        <w:sz w:val="32"/>
        <w:szCs w:val="3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F6D0D">
    <w:pPr>
      <w:pStyle w:val="2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A9A2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A3828"/>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D1EC5"/>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9322E"/>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E6290"/>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BB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823415"/>
    <w:multiLevelType w:val="singleLevel"/>
    <w:tmpl w:val="84823415"/>
    <w:lvl w:ilvl="0" w:tentative="0">
      <w:start w:val="1"/>
      <w:numFmt w:val="bullet"/>
      <w:lvlText w:val=""/>
      <w:lvlJc w:val="left"/>
      <w:pPr>
        <w:ind w:left="1050" w:hanging="420"/>
      </w:pPr>
      <w:rPr>
        <w:rFonts w:hint="default" w:ascii="Wingdings" w:hAnsi="Wingdings"/>
      </w:rPr>
    </w:lvl>
  </w:abstractNum>
  <w:abstractNum w:abstractNumId="1">
    <w:nsid w:val="86CCB6E0"/>
    <w:multiLevelType w:val="singleLevel"/>
    <w:tmpl w:val="86CCB6E0"/>
    <w:lvl w:ilvl="0" w:tentative="0">
      <w:start w:val="1"/>
      <w:numFmt w:val="bullet"/>
      <w:lvlText w:val=""/>
      <w:lvlJc w:val="left"/>
      <w:pPr>
        <w:ind w:left="1050" w:hanging="420"/>
      </w:pPr>
      <w:rPr>
        <w:rFonts w:hint="default" w:ascii="Wingdings" w:hAnsi="Wingdings"/>
      </w:rPr>
    </w:lvl>
  </w:abstractNum>
  <w:abstractNum w:abstractNumId="2">
    <w:nsid w:val="8A8E1A88"/>
    <w:multiLevelType w:val="singleLevel"/>
    <w:tmpl w:val="8A8E1A88"/>
    <w:lvl w:ilvl="0" w:tentative="0">
      <w:start w:val="1"/>
      <w:numFmt w:val="bullet"/>
      <w:lvlText w:val=""/>
      <w:lvlJc w:val="left"/>
      <w:pPr>
        <w:ind w:left="1050" w:hanging="420"/>
      </w:pPr>
      <w:rPr>
        <w:rFonts w:hint="default" w:ascii="Wingdings" w:hAnsi="Wingdings"/>
      </w:rPr>
    </w:lvl>
  </w:abstractNum>
  <w:abstractNum w:abstractNumId="3">
    <w:nsid w:val="A037EF74"/>
    <w:multiLevelType w:val="singleLevel"/>
    <w:tmpl w:val="A037EF74"/>
    <w:lvl w:ilvl="0" w:tentative="0">
      <w:start w:val="1"/>
      <w:numFmt w:val="chineseCounting"/>
      <w:suff w:val="nothing"/>
      <w:lvlText w:val="%1、"/>
      <w:lvlJc w:val="left"/>
      <w:pPr>
        <w:ind w:left="840"/>
      </w:pPr>
      <w:rPr>
        <w:rFonts w:hint="eastAsia" w:ascii="宋体" w:hAnsi="宋体" w:eastAsia="宋体" w:cs="宋体"/>
        <w:sz w:val="24"/>
        <w:szCs w:val="24"/>
      </w:rPr>
    </w:lvl>
  </w:abstractNum>
  <w:abstractNum w:abstractNumId="4">
    <w:nsid w:val="A1444269"/>
    <w:multiLevelType w:val="singleLevel"/>
    <w:tmpl w:val="A1444269"/>
    <w:lvl w:ilvl="0" w:tentative="0">
      <w:start w:val="1"/>
      <w:numFmt w:val="bullet"/>
      <w:lvlText w:val=""/>
      <w:lvlJc w:val="left"/>
      <w:pPr>
        <w:ind w:left="1050" w:hanging="420"/>
      </w:pPr>
      <w:rPr>
        <w:rFonts w:hint="default" w:ascii="Wingdings" w:hAnsi="Wingdings"/>
      </w:rPr>
    </w:lvl>
  </w:abstractNum>
  <w:abstractNum w:abstractNumId="5">
    <w:nsid w:val="A9314836"/>
    <w:multiLevelType w:val="multilevel"/>
    <w:tmpl w:val="A9314836"/>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6">
    <w:nsid w:val="A9FEB003"/>
    <w:multiLevelType w:val="singleLevel"/>
    <w:tmpl w:val="A9FEB003"/>
    <w:lvl w:ilvl="0" w:tentative="0">
      <w:start w:val="1"/>
      <w:numFmt w:val="decimal"/>
      <w:suff w:val="space"/>
      <w:lvlText w:val="%1."/>
      <w:lvlJc w:val="left"/>
    </w:lvl>
  </w:abstractNum>
  <w:abstractNum w:abstractNumId="7">
    <w:nsid w:val="AA6A10A0"/>
    <w:multiLevelType w:val="multilevel"/>
    <w:tmpl w:val="AA6A10A0"/>
    <w:lvl w:ilvl="0" w:tentative="0">
      <w:start w:val="1"/>
      <w:numFmt w:val="decimal"/>
      <w:lvlText w:val="%1."/>
      <w:lvlJc w:val="left"/>
      <w:pPr>
        <w:ind w:left="425" w:hanging="425"/>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8">
    <w:nsid w:val="AF17D5B0"/>
    <w:multiLevelType w:val="singleLevel"/>
    <w:tmpl w:val="AF17D5B0"/>
    <w:lvl w:ilvl="0" w:tentative="0">
      <w:start w:val="1"/>
      <w:numFmt w:val="decimal"/>
      <w:suff w:val="space"/>
      <w:lvlText w:val="%1."/>
      <w:lvlJc w:val="left"/>
    </w:lvl>
  </w:abstractNum>
  <w:abstractNum w:abstractNumId="9">
    <w:nsid w:val="B8C61052"/>
    <w:multiLevelType w:val="singleLevel"/>
    <w:tmpl w:val="B8C61052"/>
    <w:lvl w:ilvl="0" w:tentative="0">
      <w:start w:val="1"/>
      <w:numFmt w:val="decimal"/>
      <w:suff w:val="space"/>
      <w:lvlText w:val="%1."/>
      <w:lvlJc w:val="left"/>
    </w:lvl>
  </w:abstractNum>
  <w:abstractNum w:abstractNumId="10">
    <w:nsid w:val="BC14844B"/>
    <w:multiLevelType w:val="multilevel"/>
    <w:tmpl w:val="BC14844B"/>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1">
    <w:nsid w:val="BEE41EAA"/>
    <w:multiLevelType w:val="singleLevel"/>
    <w:tmpl w:val="BEE41EAA"/>
    <w:lvl w:ilvl="0" w:tentative="0">
      <w:start w:val="1"/>
      <w:numFmt w:val="decimal"/>
      <w:suff w:val="space"/>
      <w:lvlText w:val="%1."/>
      <w:lvlJc w:val="left"/>
    </w:lvl>
  </w:abstractNum>
  <w:abstractNum w:abstractNumId="12">
    <w:nsid w:val="C368F83C"/>
    <w:multiLevelType w:val="singleLevel"/>
    <w:tmpl w:val="C368F83C"/>
    <w:lvl w:ilvl="0" w:tentative="0">
      <w:start w:val="1"/>
      <w:numFmt w:val="bullet"/>
      <w:lvlText w:val=""/>
      <w:lvlJc w:val="left"/>
      <w:pPr>
        <w:ind w:left="1050" w:hanging="420"/>
      </w:pPr>
      <w:rPr>
        <w:rFonts w:hint="default" w:ascii="Wingdings" w:hAnsi="Wingdings"/>
      </w:rPr>
    </w:lvl>
  </w:abstractNum>
  <w:abstractNum w:abstractNumId="13">
    <w:nsid w:val="CF0F7523"/>
    <w:multiLevelType w:val="singleLevel"/>
    <w:tmpl w:val="CF0F7523"/>
    <w:lvl w:ilvl="0" w:tentative="0">
      <w:start w:val="2"/>
      <w:numFmt w:val="decimal"/>
      <w:suff w:val="nothing"/>
      <w:lvlText w:val="（%1）"/>
      <w:lvlJc w:val="left"/>
    </w:lvl>
  </w:abstractNum>
  <w:abstractNum w:abstractNumId="14">
    <w:nsid w:val="CFD41C1B"/>
    <w:multiLevelType w:val="singleLevel"/>
    <w:tmpl w:val="CFD41C1B"/>
    <w:lvl w:ilvl="0" w:tentative="0">
      <w:start w:val="1"/>
      <w:numFmt w:val="bullet"/>
      <w:lvlText w:val=""/>
      <w:lvlJc w:val="left"/>
      <w:pPr>
        <w:ind w:left="1050" w:hanging="420"/>
      </w:pPr>
      <w:rPr>
        <w:rFonts w:hint="default" w:ascii="Wingdings" w:hAnsi="Wingdings"/>
      </w:rPr>
    </w:lvl>
  </w:abstractNum>
  <w:abstractNum w:abstractNumId="15">
    <w:nsid w:val="CFFCD040"/>
    <w:multiLevelType w:val="singleLevel"/>
    <w:tmpl w:val="CFFCD040"/>
    <w:lvl w:ilvl="0" w:tentative="0">
      <w:start w:val="1"/>
      <w:numFmt w:val="decimal"/>
      <w:suff w:val="space"/>
      <w:lvlText w:val="%1."/>
      <w:lvlJc w:val="left"/>
    </w:lvl>
  </w:abstractNum>
  <w:abstractNum w:abstractNumId="16">
    <w:nsid w:val="DBCCBAB9"/>
    <w:multiLevelType w:val="multilevel"/>
    <w:tmpl w:val="DBCCBAB9"/>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7">
    <w:nsid w:val="DF7F1647"/>
    <w:multiLevelType w:val="singleLevel"/>
    <w:tmpl w:val="DF7F1647"/>
    <w:lvl w:ilvl="0" w:tentative="0">
      <w:start w:val="1"/>
      <w:numFmt w:val="decimal"/>
      <w:suff w:val="space"/>
      <w:lvlText w:val="%1."/>
      <w:lvlJc w:val="left"/>
    </w:lvl>
  </w:abstractNum>
  <w:abstractNum w:abstractNumId="18">
    <w:nsid w:val="E7725CCA"/>
    <w:multiLevelType w:val="singleLevel"/>
    <w:tmpl w:val="E7725CCA"/>
    <w:lvl w:ilvl="0" w:tentative="0">
      <w:start w:val="1"/>
      <w:numFmt w:val="decimal"/>
      <w:suff w:val="space"/>
      <w:lvlText w:val="%1."/>
      <w:lvlJc w:val="left"/>
    </w:lvl>
  </w:abstractNum>
  <w:abstractNum w:abstractNumId="19">
    <w:nsid w:val="EFBF7BD5"/>
    <w:multiLevelType w:val="singleLevel"/>
    <w:tmpl w:val="EFBF7BD5"/>
    <w:lvl w:ilvl="0" w:tentative="0">
      <w:start w:val="1"/>
      <w:numFmt w:val="decimal"/>
      <w:suff w:val="space"/>
      <w:lvlText w:val="%1."/>
      <w:lvlJc w:val="left"/>
    </w:lvl>
  </w:abstractNum>
  <w:abstractNum w:abstractNumId="20">
    <w:nsid w:val="F53FEA9D"/>
    <w:multiLevelType w:val="singleLevel"/>
    <w:tmpl w:val="F53FEA9D"/>
    <w:lvl w:ilvl="0" w:tentative="0">
      <w:start w:val="1"/>
      <w:numFmt w:val="bullet"/>
      <w:lvlText w:val=""/>
      <w:lvlJc w:val="left"/>
      <w:pPr>
        <w:ind w:left="1050" w:hanging="420"/>
      </w:pPr>
      <w:rPr>
        <w:rFonts w:hint="default" w:ascii="Wingdings" w:hAnsi="Wingdings"/>
      </w:rPr>
    </w:lvl>
  </w:abstractNum>
  <w:abstractNum w:abstractNumId="21">
    <w:nsid w:val="F6FF2B52"/>
    <w:multiLevelType w:val="singleLevel"/>
    <w:tmpl w:val="F6FF2B52"/>
    <w:lvl w:ilvl="0" w:tentative="0">
      <w:start w:val="1"/>
      <w:numFmt w:val="chineseCounting"/>
      <w:suff w:val="space"/>
      <w:lvlText w:val="第%1条"/>
      <w:lvlJc w:val="left"/>
      <w:rPr>
        <w:rFonts w:hint="eastAsia"/>
        <w:b/>
        <w:bCs/>
      </w:rPr>
    </w:lvl>
  </w:abstractNum>
  <w:abstractNum w:abstractNumId="22">
    <w:nsid w:val="FAFFCFF0"/>
    <w:multiLevelType w:val="singleLevel"/>
    <w:tmpl w:val="FAFFCFF0"/>
    <w:lvl w:ilvl="0" w:tentative="0">
      <w:start w:val="1"/>
      <w:numFmt w:val="chineseCounting"/>
      <w:suff w:val="nothing"/>
      <w:lvlText w:val="%1、"/>
      <w:lvlJc w:val="left"/>
      <w:rPr>
        <w:rFonts w:hint="eastAsia"/>
      </w:rPr>
    </w:lvl>
  </w:abstractNum>
  <w:abstractNum w:abstractNumId="23">
    <w:nsid w:val="FDDC5AFF"/>
    <w:multiLevelType w:val="singleLevel"/>
    <w:tmpl w:val="FDDC5AFF"/>
    <w:lvl w:ilvl="0" w:tentative="0">
      <w:start w:val="1"/>
      <w:numFmt w:val="decimal"/>
      <w:suff w:val="space"/>
      <w:lvlText w:val="%1."/>
      <w:lvlJc w:val="left"/>
    </w:lvl>
  </w:abstractNum>
  <w:abstractNum w:abstractNumId="24">
    <w:nsid w:val="FE2AD8BB"/>
    <w:multiLevelType w:val="multilevel"/>
    <w:tmpl w:val="FE2AD8BB"/>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5">
    <w:nsid w:val="FEB5DC4E"/>
    <w:multiLevelType w:val="singleLevel"/>
    <w:tmpl w:val="FEB5DC4E"/>
    <w:lvl w:ilvl="0" w:tentative="0">
      <w:start w:val="1"/>
      <w:numFmt w:val="decimal"/>
      <w:suff w:val="space"/>
      <w:lvlText w:val="%1."/>
      <w:lvlJc w:val="left"/>
    </w:lvl>
  </w:abstractNum>
  <w:abstractNum w:abstractNumId="26">
    <w:nsid w:val="FFFF0A13"/>
    <w:multiLevelType w:val="singleLevel"/>
    <w:tmpl w:val="FFFF0A13"/>
    <w:lvl w:ilvl="0" w:tentative="0">
      <w:start w:val="1"/>
      <w:numFmt w:val="decimal"/>
      <w:suff w:val="nothing"/>
      <w:lvlText w:val="（%1）"/>
      <w:lvlJc w:val="left"/>
    </w:lvl>
  </w:abstractNum>
  <w:abstractNum w:abstractNumId="27">
    <w:nsid w:val="036B2ACB"/>
    <w:multiLevelType w:val="multilevel"/>
    <w:tmpl w:val="036B2ACB"/>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8">
    <w:nsid w:val="0613200F"/>
    <w:multiLevelType w:val="singleLevel"/>
    <w:tmpl w:val="0613200F"/>
    <w:lvl w:ilvl="0" w:tentative="0">
      <w:start w:val="1"/>
      <w:numFmt w:val="bullet"/>
      <w:lvlText w:val=""/>
      <w:lvlJc w:val="left"/>
      <w:pPr>
        <w:ind w:left="1050" w:hanging="420"/>
      </w:pPr>
      <w:rPr>
        <w:rFonts w:hint="default" w:ascii="Wingdings" w:hAnsi="Wingdings"/>
      </w:rPr>
    </w:lvl>
  </w:abstractNum>
  <w:abstractNum w:abstractNumId="29">
    <w:nsid w:val="076F3C37"/>
    <w:multiLevelType w:val="multilevel"/>
    <w:tmpl w:val="076F3C37"/>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0">
    <w:nsid w:val="0E4F1A1A"/>
    <w:multiLevelType w:val="multilevel"/>
    <w:tmpl w:val="0E4F1A1A"/>
    <w:lvl w:ilvl="0" w:tentative="0">
      <w:start w:val="1"/>
      <w:numFmt w:val="japaneseCounting"/>
      <w:lvlText w:val="%1、"/>
      <w:lvlJc w:val="left"/>
      <w:pPr>
        <w:tabs>
          <w:tab w:val="left" w:pos="1680"/>
        </w:tabs>
        <w:ind w:left="1680" w:hanging="480"/>
      </w:pPr>
      <w:rPr>
        <w:rFonts w:hint="eastAsia"/>
      </w:rPr>
    </w:lvl>
    <w:lvl w:ilvl="1" w:tentative="0">
      <w:start w:val="1"/>
      <w:numFmt w:val="lowerLetter"/>
      <w:lvlText w:val="%2)"/>
      <w:lvlJc w:val="left"/>
      <w:pPr>
        <w:tabs>
          <w:tab w:val="left" w:pos="2040"/>
        </w:tabs>
        <w:ind w:left="2040" w:hanging="420"/>
      </w:pPr>
    </w:lvl>
    <w:lvl w:ilvl="2" w:tentative="0">
      <w:start w:val="1"/>
      <w:numFmt w:val="lowerRoman"/>
      <w:lvlText w:val="%3."/>
      <w:lvlJc w:val="right"/>
      <w:pPr>
        <w:tabs>
          <w:tab w:val="left" w:pos="2460"/>
        </w:tabs>
        <w:ind w:left="2460" w:hanging="420"/>
      </w:pPr>
    </w:lvl>
    <w:lvl w:ilvl="3" w:tentative="0">
      <w:start w:val="1"/>
      <w:numFmt w:val="decimal"/>
      <w:lvlText w:val="%4."/>
      <w:lvlJc w:val="left"/>
      <w:pPr>
        <w:tabs>
          <w:tab w:val="left" w:pos="2880"/>
        </w:tabs>
        <w:ind w:left="2880" w:hanging="420"/>
      </w:pPr>
    </w:lvl>
    <w:lvl w:ilvl="4" w:tentative="0">
      <w:start w:val="1"/>
      <w:numFmt w:val="lowerLetter"/>
      <w:lvlText w:val="%5)"/>
      <w:lvlJc w:val="left"/>
      <w:pPr>
        <w:tabs>
          <w:tab w:val="left" w:pos="3300"/>
        </w:tabs>
        <w:ind w:left="3300" w:hanging="420"/>
      </w:pPr>
    </w:lvl>
    <w:lvl w:ilvl="5" w:tentative="0">
      <w:start w:val="1"/>
      <w:numFmt w:val="lowerRoman"/>
      <w:lvlText w:val="%6."/>
      <w:lvlJc w:val="right"/>
      <w:pPr>
        <w:tabs>
          <w:tab w:val="left" w:pos="3720"/>
        </w:tabs>
        <w:ind w:left="3720" w:hanging="420"/>
      </w:pPr>
    </w:lvl>
    <w:lvl w:ilvl="6" w:tentative="0">
      <w:start w:val="1"/>
      <w:numFmt w:val="decimal"/>
      <w:lvlText w:val="%7."/>
      <w:lvlJc w:val="left"/>
      <w:pPr>
        <w:tabs>
          <w:tab w:val="left" w:pos="4140"/>
        </w:tabs>
        <w:ind w:left="4140" w:hanging="420"/>
      </w:pPr>
    </w:lvl>
    <w:lvl w:ilvl="7" w:tentative="0">
      <w:start w:val="1"/>
      <w:numFmt w:val="lowerLetter"/>
      <w:lvlText w:val="%8)"/>
      <w:lvlJc w:val="left"/>
      <w:pPr>
        <w:tabs>
          <w:tab w:val="left" w:pos="4560"/>
        </w:tabs>
        <w:ind w:left="4560" w:hanging="420"/>
      </w:pPr>
    </w:lvl>
    <w:lvl w:ilvl="8" w:tentative="0">
      <w:start w:val="1"/>
      <w:numFmt w:val="lowerRoman"/>
      <w:lvlText w:val="%9."/>
      <w:lvlJc w:val="right"/>
      <w:pPr>
        <w:tabs>
          <w:tab w:val="left" w:pos="4980"/>
        </w:tabs>
        <w:ind w:left="4980" w:hanging="420"/>
      </w:pPr>
    </w:lvl>
  </w:abstractNum>
  <w:abstractNum w:abstractNumId="31">
    <w:nsid w:val="0FEF717C"/>
    <w:multiLevelType w:val="singleLevel"/>
    <w:tmpl w:val="0FEF717C"/>
    <w:lvl w:ilvl="0" w:tentative="0">
      <w:start w:val="1"/>
      <w:numFmt w:val="decimal"/>
      <w:suff w:val="space"/>
      <w:lvlText w:val="%1."/>
      <w:lvlJc w:val="left"/>
      <w:pPr>
        <w:ind w:left="420"/>
      </w:pPr>
    </w:lvl>
  </w:abstractNum>
  <w:abstractNum w:abstractNumId="32">
    <w:nsid w:val="13A13CC7"/>
    <w:multiLevelType w:val="singleLevel"/>
    <w:tmpl w:val="13A13CC7"/>
    <w:lvl w:ilvl="0" w:tentative="0">
      <w:start w:val="1"/>
      <w:numFmt w:val="bullet"/>
      <w:lvlText w:val=""/>
      <w:lvlJc w:val="left"/>
      <w:pPr>
        <w:ind w:left="1050" w:hanging="420"/>
      </w:pPr>
      <w:rPr>
        <w:rFonts w:hint="default" w:ascii="Wingdings" w:hAnsi="Wingdings"/>
      </w:rPr>
    </w:lvl>
  </w:abstractNum>
  <w:abstractNum w:abstractNumId="33">
    <w:nsid w:val="19904744"/>
    <w:multiLevelType w:val="singleLevel"/>
    <w:tmpl w:val="19904744"/>
    <w:lvl w:ilvl="0" w:tentative="0">
      <w:start w:val="4"/>
      <w:numFmt w:val="chineseCounting"/>
      <w:suff w:val="nothing"/>
      <w:lvlText w:val="%1、"/>
      <w:lvlJc w:val="left"/>
      <w:rPr>
        <w:rFonts w:hint="eastAsia"/>
      </w:rPr>
    </w:lvl>
  </w:abstractNum>
  <w:abstractNum w:abstractNumId="34">
    <w:nsid w:val="1BF5FFB8"/>
    <w:multiLevelType w:val="singleLevel"/>
    <w:tmpl w:val="1BF5FFB8"/>
    <w:lvl w:ilvl="0" w:tentative="0">
      <w:start w:val="1"/>
      <w:numFmt w:val="decimal"/>
      <w:suff w:val="space"/>
      <w:lvlText w:val="%1."/>
      <w:lvlJc w:val="left"/>
    </w:lvl>
  </w:abstractNum>
  <w:abstractNum w:abstractNumId="35">
    <w:nsid w:val="30B410FB"/>
    <w:multiLevelType w:val="singleLevel"/>
    <w:tmpl w:val="30B410FB"/>
    <w:lvl w:ilvl="0" w:tentative="0">
      <w:start w:val="1"/>
      <w:numFmt w:val="bullet"/>
      <w:lvlText w:val=""/>
      <w:lvlJc w:val="left"/>
      <w:pPr>
        <w:ind w:left="1050" w:hanging="420"/>
      </w:pPr>
      <w:rPr>
        <w:rFonts w:hint="default" w:ascii="Wingdings" w:hAnsi="Wingdings"/>
      </w:rPr>
    </w:lvl>
  </w:abstractNum>
  <w:abstractNum w:abstractNumId="36">
    <w:nsid w:val="34E0C955"/>
    <w:multiLevelType w:val="multilevel"/>
    <w:tmpl w:val="34E0C955"/>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7">
    <w:nsid w:val="3DCEB6B8"/>
    <w:multiLevelType w:val="singleLevel"/>
    <w:tmpl w:val="3DCEB6B8"/>
    <w:lvl w:ilvl="0" w:tentative="0">
      <w:start w:val="1"/>
      <w:numFmt w:val="decimal"/>
      <w:lvlText w:val="%1."/>
      <w:lvlJc w:val="left"/>
      <w:pPr>
        <w:tabs>
          <w:tab w:val="left" w:pos="312"/>
        </w:tabs>
      </w:pPr>
    </w:lvl>
  </w:abstractNum>
  <w:abstractNum w:abstractNumId="38">
    <w:nsid w:val="3DD37B84"/>
    <w:multiLevelType w:val="multilevel"/>
    <w:tmpl w:val="3DD37B84"/>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9">
    <w:nsid w:val="3FCA3BD5"/>
    <w:multiLevelType w:val="singleLevel"/>
    <w:tmpl w:val="3FCA3BD5"/>
    <w:lvl w:ilvl="0" w:tentative="0">
      <w:start w:val="1"/>
      <w:numFmt w:val="decimal"/>
      <w:lvlText w:val="%1."/>
      <w:lvlJc w:val="left"/>
      <w:pPr>
        <w:tabs>
          <w:tab w:val="left" w:pos="312"/>
        </w:tabs>
      </w:pPr>
    </w:lvl>
  </w:abstractNum>
  <w:abstractNum w:abstractNumId="40">
    <w:nsid w:val="461A4BFA"/>
    <w:multiLevelType w:val="singleLevel"/>
    <w:tmpl w:val="461A4BFA"/>
    <w:lvl w:ilvl="0" w:tentative="0">
      <w:start w:val="1"/>
      <w:numFmt w:val="bullet"/>
      <w:lvlText w:val=""/>
      <w:lvlJc w:val="left"/>
      <w:pPr>
        <w:ind w:left="1050" w:hanging="420"/>
      </w:pPr>
      <w:rPr>
        <w:rFonts w:hint="default" w:ascii="Wingdings" w:hAnsi="Wingdings"/>
      </w:rPr>
    </w:lvl>
  </w:abstractNum>
  <w:abstractNum w:abstractNumId="41">
    <w:nsid w:val="49585295"/>
    <w:multiLevelType w:val="singleLevel"/>
    <w:tmpl w:val="49585295"/>
    <w:lvl w:ilvl="0" w:tentative="0">
      <w:start w:val="4"/>
      <w:numFmt w:val="chineseCounting"/>
      <w:suff w:val="space"/>
      <w:lvlText w:val="第%1章"/>
      <w:lvlJc w:val="left"/>
      <w:rPr>
        <w:rFonts w:hint="eastAsia"/>
      </w:rPr>
    </w:lvl>
  </w:abstractNum>
  <w:abstractNum w:abstractNumId="42">
    <w:nsid w:val="57DF28C8"/>
    <w:multiLevelType w:val="singleLevel"/>
    <w:tmpl w:val="57DF28C8"/>
    <w:lvl w:ilvl="0" w:tentative="0">
      <w:start w:val="1"/>
      <w:numFmt w:val="decimal"/>
      <w:suff w:val="space"/>
      <w:lvlText w:val="%1."/>
      <w:lvlJc w:val="left"/>
    </w:lvl>
  </w:abstractNum>
  <w:abstractNum w:abstractNumId="43">
    <w:nsid w:val="59E1432A"/>
    <w:multiLevelType w:val="singleLevel"/>
    <w:tmpl w:val="59E1432A"/>
    <w:lvl w:ilvl="0" w:tentative="0">
      <w:start w:val="1"/>
      <w:numFmt w:val="bullet"/>
      <w:lvlText w:val=""/>
      <w:lvlJc w:val="left"/>
      <w:pPr>
        <w:ind w:left="1050" w:hanging="420"/>
      </w:pPr>
      <w:rPr>
        <w:rFonts w:hint="default" w:ascii="Wingdings" w:hAnsi="Wingdings"/>
      </w:rPr>
    </w:lvl>
  </w:abstractNum>
  <w:abstractNum w:abstractNumId="44">
    <w:nsid w:val="5B5992F8"/>
    <w:multiLevelType w:val="singleLevel"/>
    <w:tmpl w:val="5B5992F8"/>
    <w:lvl w:ilvl="0" w:tentative="0">
      <w:start w:val="1"/>
      <w:numFmt w:val="bullet"/>
      <w:lvlText w:val=""/>
      <w:lvlJc w:val="left"/>
      <w:pPr>
        <w:ind w:left="1050" w:hanging="420"/>
      </w:pPr>
      <w:rPr>
        <w:rFonts w:hint="default" w:ascii="Wingdings" w:hAnsi="Wingdings"/>
      </w:rPr>
    </w:lvl>
  </w:abstractNum>
  <w:abstractNum w:abstractNumId="45">
    <w:nsid w:val="5F6F5C80"/>
    <w:multiLevelType w:val="singleLevel"/>
    <w:tmpl w:val="5F6F5C80"/>
    <w:lvl w:ilvl="0" w:tentative="0">
      <w:start w:val="1"/>
      <w:numFmt w:val="decimal"/>
      <w:suff w:val="space"/>
      <w:lvlText w:val="%1."/>
      <w:lvlJc w:val="left"/>
    </w:lvl>
  </w:abstractNum>
  <w:abstractNum w:abstractNumId="46">
    <w:nsid w:val="5FC1A48B"/>
    <w:multiLevelType w:val="singleLevel"/>
    <w:tmpl w:val="5FC1A48B"/>
    <w:lvl w:ilvl="0" w:tentative="0">
      <w:start w:val="1"/>
      <w:numFmt w:val="bullet"/>
      <w:lvlText w:val=""/>
      <w:lvlJc w:val="left"/>
      <w:pPr>
        <w:ind w:left="1050" w:hanging="420"/>
      </w:pPr>
      <w:rPr>
        <w:rFonts w:hint="default" w:ascii="Wingdings" w:hAnsi="Wingdings"/>
      </w:rPr>
    </w:lvl>
  </w:abstractNum>
  <w:abstractNum w:abstractNumId="47">
    <w:nsid w:val="65CD8AFE"/>
    <w:multiLevelType w:val="singleLevel"/>
    <w:tmpl w:val="65CD8AFE"/>
    <w:lvl w:ilvl="0" w:tentative="0">
      <w:start w:val="1"/>
      <w:numFmt w:val="bullet"/>
      <w:lvlText w:val=""/>
      <w:lvlJc w:val="left"/>
      <w:pPr>
        <w:ind w:left="1050" w:hanging="420"/>
      </w:pPr>
      <w:rPr>
        <w:rFonts w:hint="default" w:ascii="Wingdings" w:hAnsi="Wingdings"/>
      </w:rPr>
    </w:lvl>
  </w:abstractNum>
  <w:abstractNum w:abstractNumId="48">
    <w:nsid w:val="6E4A572F"/>
    <w:multiLevelType w:val="singleLevel"/>
    <w:tmpl w:val="6E4A572F"/>
    <w:lvl w:ilvl="0" w:tentative="0">
      <w:start w:val="1"/>
      <w:numFmt w:val="bullet"/>
      <w:lvlText w:val=""/>
      <w:lvlJc w:val="left"/>
      <w:pPr>
        <w:ind w:left="1050" w:hanging="420"/>
      </w:pPr>
      <w:rPr>
        <w:rFonts w:hint="default" w:ascii="Wingdings" w:hAnsi="Wingdings"/>
      </w:rPr>
    </w:lvl>
  </w:abstractNum>
  <w:abstractNum w:abstractNumId="49">
    <w:nsid w:val="73D9F2AC"/>
    <w:multiLevelType w:val="singleLevel"/>
    <w:tmpl w:val="73D9F2AC"/>
    <w:lvl w:ilvl="0" w:tentative="0">
      <w:start w:val="1"/>
      <w:numFmt w:val="bullet"/>
      <w:lvlText w:val=""/>
      <w:lvlJc w:val="left"/>
      <w:pPr>
        <w:ind w:left="1050" w:hanging="420"/>
      </w:pPr>
      <w:rPr>
        <w:rFonts w:hint="default" w:ascii="Wingdings" w:hAnsi="Wingdings"/>
      </w:rPr>
    </w:lvl>
  </w:abstractNum>
  <w:abstractNum w:abstractNumId="50">
    <w:nsid w:val="75AEB25A"/>
    <w:multiLevelType w:val="singleLevel"/>
    <w:tmpl w:val="75AEB25A"/>
    <w:lvl w:ilvl="0" w:tentative="0">
      <w:start w:val="2"/>
      <w:numFmt w:val="decimal"/>
      <w:suff w:val="nothing"/>
      <w:lvlText w:val="（%1）"/>
      <w:lvlJc w:val="left"/>
    </w:lvl>
  </w:abstractNum>
  <w:abstractNum w:abstractNumId="51">
    <w:nsid w:val="7EF6FCBD"/>
    <w:multiLevelType w:val="singleLevel"/>
    <w:tmpl w:val="7EF6FCBD"/>
    <w:lvl w:ilvl="0" w:tentative="0">
      <w:start w:val="1"/>
      <w:numFmt w:val="decimal"/>
      <w:suff w:val="space"/>
      <w:lvlText w:val="%1."/>
      <w:lvlJc w:val="left"/>
    </w:lvl>
  </w:abstractNum>
  <w:num w:numId="1">
    <w:abstractNumId w:val="27"/>
  </w:num>
  <w:num w:numId="2">
    <w:abstractNumId w:val="3"/>
  </w:num>
  <w:num w:numId="3">
    <w:abstractNumId w:val="7"/>
  </w:num>
  <w:num w:numId="4">
    <w:abstractNumId w:val="36"/>
  </w:num>
  <w:num w:numId="5">
    <w:abstractNumId w:val="41"/>
  </w:num>
  <w:num w:numId="6">
    <w:abstractNumId w:val="22"/>
  </w:num>
  <w:num w:numId="7">
    <w:abstractNumId w:val="21"/>
  </w:num>
  <w:num w:numId="8">
    <w:abstractNumId w:val="11"/>
  </w:num>
  <w:num w:numId="9">
    <w:abstractNumId w:val="9"/>
  </w:num>
  <w:num w:numId="10">
    <w:abstractNumId w:val="25"/>
  </w:num>
  <w:num w:numId="11">
    <w:abstractNumId w:val="18"/>
  </w:num>
  <w:num w:numId="12">
    <w:abstractNumId w:val="8"/>
  </w:num>
  <w:num w:numId="13">
    <w:abstractNumId w:val="51"/>
  </w:num>
  <w:num w:numId="14">
    <w:abstractNumId w:val="15"/>
  </w:num>
  <w:num w:numId="15">
    <w:abstractNumId w:val="19"/>
  </w:num>
  <w:num w:numId="16">
    <w:abstractNumId w:val="42"/>
  </w:num>
  <w:num w:numId="17">
    <w:abstractNumId w:val="26"/>
  </w:num>
  <w:num w:numId="18">
    <w:abstractNumId w:val="34"/>
  </w:num>
  <w:num w:numId="19">
    <w:abstractNumId w:val="23"/>
  </w:num>
  <w:num w:numId="20">
    <w:abstractNumId w:val="31"/>
  </w:num>
  <w:num w:numId="21">
    <w:abstractNumId w:val="6"/>
  </w:num>
  <w:num w:numId="22">
    <w:abstractNumId w:val="17"/>
  </w:num>
  <w:num w:numId="23">
    <w:abstractNumId w:val="38"/>
  </w:num>
  <w:num w:numId="24">
    <w:abstractNumId w:val="29"/>
  </w:num>
  <w:num w:numId="25">
    <w:abstractNumId w:val="45"/>
  </w:num>
  <w:num w:numId="26">
    <w:abstractNumId w:val="0"/>
  </w:num>
  <w:num w:numId="27">
    <w:abstractNumId w:val="46"/>
  </w:num>
  <w:num w:numId="28">
    <w:abstractNumId w:val="1"/>
  </w:num>
  <w:num w:numId="29">
    <w:abstractNumId w:val="48"/>
  </w:num>
  <w:num w:numId="30">
    <w:abstractNumId w:val="49"/>
  </w:num>
  <w:num w:numId="31">
    <w:abstractNumId w:val="44"/>
  </w:num>
  <w:num w:numId="32">
    <w:abstractNumId w:val="2"/>
  </w:num>
  <w:num w:numId="33">
    <w:abstractNumId w:val="47"/>
  </w:num>
  <w:num w:numId="34">
    <w:abstractNumId w:val="4"/>
  </w:num>
  <w:num w:numId="35">
    <w:abstractNumId w:val="35"/>
  </w:num>
  <w:num w:numId="36">
    <w:abstractNumId w:val="40"/>
  </w:num>
  <w:num w:numId="37">
    <w:abstractNumId w:val="12"/>
  </w:num>
  <w:num w:numId="38">
    <w:abstractNumId w:val="50"/>
  </w:num>
  <w:num w:numId="39">
    <w:abstractNumId w:val="14"/>
  </w:num>
  <w:num w:numId="40">
    <w:abstractNumId w:val="20"/>
  </w:num>
  <w:num w:numId="41">
    <w:abstractNumId w:val="43"/>
  </w:num>
  <w:num w:numId="42">
    <w:abstractNumId w:val="13"/>
  </w:num>
  <w:num w:numId="43">
    <w:abstractNumId w:val="32"/>
  </w:num>
  <w:num w:numId="44">
    <w:abstractNumId w:val="28"/>
  </w:num>
  <w:num w:numId="45">
    <w:abstractNumId w:val="37"/>
  </w:num>
  <w:num w:numId="46">
    <w:abstractNumId w:val="39"/>
  </w:num>
  <w:num w:numId="47">
    <w:abstractNumId w:val="16"/>
  </w:num>
  <w:num w:numId="48">
    <w:abstractNumId w:val="10"/>
  </w:num>
  <w:num w:numId="49">
    <w:abstractNumId w:val="24"/>
  </w:num>
  <w:num w:numId="50">
    <w:abstractNumId w:val="5"/>
  </w:num>
  <w:num w:numId="51">
    <w:abstractNumId w:val="30"/>
  </w:num>
  <w:num w:numId="5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attachedTemplate r:id="rId1"/>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2ZmZmYWQyNDY0YWU1Y2JhZGFkODRiOWVhMjUwODMifQ=="/>
  </w:docVars>
  <w:rsids>
    <w:rsidRoot w:val="0B7C51A7"/>
    <w:rsid w:val="000018D1"/>
    <w:rsid w:val="000023D7"/>
    <w:rsid w:val="00015E28"/>
    <w:rsid w:val="00023CCF"/>
    <w:rsid w:val="00027AB2"/>
    <w:rsid w:val="00043817"/>
    <w:rsid w:val="00053668"/>
    <w:rsid w:val="00060BE8"/>
    <w:rsid w:val="00062A2A"/>
    <w:rsid w:val="00066CBC"/>
    <w:rsid w:val="00074252"/>
    <w:rsid w:val="0008261A"/>
    <w:rsid w:val="00096079"/>
    <w:rsid w:val="000A1EC0"/>
    <w:rsid w:val="000A2826"/>
    <w:rsid w:val="000B4B20"/>
    <w:rsid w:val="000B6D0D"/>
    <w:rsid w:val="000C2111"/>
    <w:rsid w:val="000D259B"/>
    <w:rsid w:val="000D7079"/>
    <w:rsid w:val="00114751"/>
    <w:rsid w:val="00127F14"/>
    <w:rsid w:val="00127F5A"/>
    <w:rsid w:val="001315D9"/>
    <w:rsid w:val="001367BC"/>
    <w:rsid w:val="001410CC"/>
    <w:rsid w:val="001435B4"/>
    <w:rsid w:val="00146473"/>
    <w:rsid w:val="00150E1C"/>
    <w:rsid w:val="00155845"/>
    <w:rsid w:val="001735BA"/>
    <w:rsid w:val="00185863"/>
    <w:rsid w:val="001A49D1"/>
    <w:rsid w:val="001A4DFF"/>
    <w:rsid w:val="001A4F74"/>
    <w:rsid w:val="001B0394"/>
    <w:rsid w:val="001B766F"/>
    <w:rsid w:val="001E0F39"/>
    <w:rsid w:val="001E1DD3"/>
    <w:rsid w:val="001F352C"/>
    <w:rsid w:val="001F5D71"/>
    <w:rsid w:val="001F7E69"/>
    <w:rsid w:val="00200AE6"/>
    <w:rsid w:val="00204FF0"/>
    <w:rsid w:val="0021722A"/>
    <w:rsid w:val="00231644"/>
    <w:rsid w:val="002352F1"/>
    <w:rsid w:val="00243A10"/>
    <w:rsid w:val="002468E5"/>
    <w:rsid w:val="00262148"/>
    <w:rsid w:val="00262320"/>
    <w:rsid w:val="00273F15"/>
    <w:rsid w:val="002761A6"/>
    <w:rsid w:val="00286A4A"/>
    <w:rsid w:val="00291BDD"/>
    <w:rsid w:val="002979EE"/>
    <w:rsid w:val="002A4330"/>
    <w:rsid w:val="002A67F8"/>
    <w:rsid w:val="002B53F5"/>
    <w:rsid w:val="002C1BD4"/>
    <w:rsid w:val="002D5EA2"/>
    <w:rsid w:val="002F58DB"/>
    <w:rsid w:val="00302439"/>
    <w:rsid w:val="00303D95"/>
    <w:rsid w:val="0030497B"/>
    <w:rsid w:val="003156E2"/>
    <w:rsid w:val="0031716D"/>
    <w:rsid w:val="0035127C"/>
    <w:rsid w:val="00351442"/>
    <w:rsid w:val="003527FE"/>
    <w:rsid w:val="00361DB3"/>
    <w:rsid w:val="00361EA5"/>
    <w:rsid w:val="0036483E"/>
    <w:rsid w:val="00391E11"/>
    <w:rsid w:val="003B247C"/>
    <w:rsid w:val="003C1B60"/>
    <w:rsid w:val="003D0D97"/>
    <w:rsid w:val="003D251C"/>
    <w:rsid w:val="003E3966"/>
    <w:rsid w:val="003E6EB7"/>
    <w:rsid w:val="003F03ED"/>
    <w:rsid w:val="003F24D8"/>
    <w:rsid w:val="003F3AA8"/>
    <w:rsid w:val="003F46A3"/>
    <w:rsid w:val="003F5C89"/>
    <w:rsid w:val="003F7A4F"/>
    <w:rsid w:val="00404037"/>
    <w:rsid w:val="00410D4A"/>
    <w:rsid w:val="00416260"/>
    <w:rsid w:val="004173EE"/>
    <w:rsid w:val="00432632"/>
    <w:rsid w:val="00437C43"/>
    <w:rsid w:val="004557B3"/>
    <w:rsid w:val="00457522"/>
    <w:rsid w:val="0046070D"/>
    <w:rsid w:val="00462476"/>
    <w:rsid w:val="00464011"/>
    <w:rsid w:val="00464BF4"/>
    <w:rsid w:val="004711FC"/>
    <w:rsid w:val="00475F83"/>
    <w:rsid w:val="00477DC7"/>
    <w:rsid w:val="0049238D"/>
    <w:rsid w:val="00492F86"/>
    <w:rsid w:val="00493515"/>
    <w:rsid w:val="0049552E"/>
    <w:rsid w:val="004C1159"/>
    <w:rsid w:val="004C1E22"/>
    <w:rsid w:val="004E035F"/>
    <w:rsid w:val="004E135E"/>
    <w:rsid w:val="004F2EC8"/>
    <w:rsid w:val="004F3A48"/>
    <w:rsid w:val="004F5D27"/>
    <w:rsid w:val="00506B33"/>
    <w:rsid w:val="00514C3C"/>
    <w:rsid w:val="00515519"/>
    <w:rsid w:val="00527B54"/>
    <w:rsid w:val="00534B34"/>
    <w:rsid w:val="005423AF"/>
    <w:rsid w:val="00570128"/>
    <w:rsid w:val="00570F06"/>
    <w:rsid w:val="005711BE"/>
    <w:rsid w:val="00585396"/>
    <w:rsid w:val="00594FD9"/>
    <w:rsid w:val="005C3E78"/>
    <w:rsid w:val="005D5EE1"/>
    <w:rsid w:val="005E47BC"/>
    <w:rsid w:val="00601430"/>
    <w:rsid w:val="00601B99"/>
    <w:rsid w:val="006072FB"/>
    <w:rsid w:val="00612DB5"/>
    <w:rsid w:val="0062286C"/>
    <w:rsid w:val="00636E51"/>
    <w:rsid w:val="006379CD"/>
    <w:rsid w:val="00653F2B"/>
    <w:rsid w:val="00655E51"/>
    <w:rsid w:val="00661621"/>
    <w:rsid w:val="0066501C"/>
    <w:rsid w:val="0067028A"/>
    <w:rsid w:val="006722FB"/>
    <w:rsid w:val="00675283"/>
    <w:rsid w:val="00675AC6"/>
    <w:rsid w:val="006A499A"/>
    <w:rsid w:val="006B1938"/>
    <w:rsid w:val="006B6A81"/>
    <w:rsid w:val="006C6CEF"/>
    <w:rsid w:val="006D68E7"/>
    <w:rsid w:val="006E253D"/>
    <w:rsid w:val="006F26B7"/>
    <w:rsid w:val="00711B3F"/>
    <w:rsid w:val="00715015"/>
    <w:rsid w:val="0071740E"/>
    <w:rsid w:val="007210C0"/>
    <w:rsid w:val="00737C46"/>
    <w:rsid w:val="00754EDF"/>
    <w:rsid w:val="0076051D"/>
    <w:rsid w:val="00771B7A"/>
    <w:rsid w:val="00773FCA"/>
    <w:rsid w:val="0078096E"/>
    <w:rsid w:val="00785336"/>
    <w:rsid w:val="00785707"/>
    <w:rsid w:val="00792663"/>
    <w:rsid w:val="00797660"/>
    <w:rsid w:val="007B2D2D"/>
    <w:rsid w:val="007C6CC1"/>
    <w:rsid w:val="007C6D1C"/>
    <w:rsid w:val="007E7DD4"/>
    <w:rsid w:val="007F0A62"/>
    <w:rsid w:val="008033C9"/>
    <w:rsid w:val="00804BB8"/>
    <w:rsid w:val="00806F72"/>
    <w:rsid w:val="00807150"/>
    <w:rsid w:val="0081188B"/>
    <w:rsid w:val="00814680"/>
    <w:rsid w:val="00820B13"/>
    <w:rsid w:val="00821BAA"/>
    <w:rsid w:val="00846F91"/>
    <w:rsid w:val="00860E60"/>
    <w:rsid w:val="00865B1C"/>
    <w:rsid w:val="00870BDD"/>
    <w:rsid w:val="00873F0A"/>
    <w:rsid w:val="00876C83"/>
    <w:rsid w:val="008A2FAD"/>
    <w:rsid w:val="008B35FD"/>
    <w:rsid w:val="008B60CE"/>
    <w:rsid w:val="008C5440"/>
    <w:rsid w:val="008C60A7"/>
    <w:rsid w:val="008D4126"/>
    <w:rsid w:val="008D4D8A"/>
    <w:rsid w:val="008D7A97"/>
    <w:rsid w:val="008E5FB2"/>
    <w:rsid w:val="008F4D50"/>
    <w:rsid w:val="008F4EB2"/>
    <w:rsid w:val="0091188E"/>
    <w:rsid w:val="00921780"/>
    <w:rsid w:val="00922538"/>
    <w:rsid w:val="00935CF1"/>
    <w:rsid w:val="00950A89"/>
    <w:rsid w:val="00953339"/>
    <w:rsid w:val="0096491D"/>
    <w:rsid w:val="00974F3D"/>
    <w:rsid w:val="00983991"/>
    <w:rsid w:val="009839E1"/>
    <w:rsid w:val="00983E7E"/>
    <w:rsid w:val="0098534E"/>
    <w:rsid w:val="009B215E"/>
    <w:rsid w:val="009C1298"/>
    <w:rsid w:val="009D2025"/>
    <w:rsid w:val="009D43F0"/>
    <w:rsid w:val="009E0735"/>
    <w:rsid w:val="009F1E6A"/>
    <w:rsid w:val="009F54D9"/>
    <w:rsid w:val="00A137F6"/>
    <w:rsid w:val="00A13D79"/>
    <w:rsid w:val="00A1549F"/>
    <w:rsid w:val="00A2520F"/>
    <w:rsid w:val="00A346EE"/>
    <w:rsid w:val="00A406D9"/>
    <w:rsid w:val="00A4352F"/>
    <w:rsid w:val="00A43C70"/>
    <w:rsid w:val="00A50BC7"/>
    <w:rsid w:val="00A55177"/>
    <w:rsid w:val="00A57C58"/>
    <w:rsid w:val="00A712EF"/>
    <w:rsid w:val="00A84487"/>
    <w:rsid w:val="00A900B6"/>
    <w:rsid w:val="00A94074"/>
    <w:rsid w:val="00A94428"/>
    <w:rsid w:val="00A957BE"/>
    <w:rsid w:val="00AA1842"/>
    <w:rsid w:val="00AA367B"/>
    <w:rsid w:val="00AB50E9"/>
    <w:rsid w:val="00AB7262"/>
    <w:rsid w:val="00AD364F"/>
    <w:rsid w:val="00AD468E"/>
    <w:rsid w:val="00AE0B0A"/>
    <w:rsid w:val="00AE11F2"/>
    <w:rsid w:val="00AE35C9"/>
    <w:rsid w:val="00AE480D"/>
    <w:rsid w:val="00AE4E1E"/>
    <w:rsid w:val="00AF221C"/>
    <w:rsid w:val="00AF6ACC"/>
    <w:rsid w:val="00B025CA"/>
    <w:rsid w:val="00B045A6"/>
    <w:rsid w:val="00B05921"/>
    <w:rsid w:val="00B1045C"/>
    <w:rsid w:val="00B1478C"/>
    <w:rsid w:val="00B1762C"/>
    <w:rsid w:val="00B2491E"/>
    <w:rsid w:val="00B449B6"/>
    <w:rsid w:val="00B657C9"/>
    <w:rsid w:val="00B66A66"/>
    <w:rsid w:val="00B71C9F"/>
    <w:rsid w:val="00B74FEE"/>
    <w:rsid w:val="00B82ED3"/>
    <w:rsid w:val="00B855A5"/>
    <w:rsid w:val="00B874E0"/>
    <w:rsid w:val="00B9301E"/>
    <w:rsid w:val="00BA2D3F"/>
    <w:rsid w:val="00BA6F5C"/>
    <w:rsid w:val="00BE6BDD"/>
    <w:rsid w:val="00C00B77"/>
    <w:rsid w:val="00C1107F"/>
    <w:rsid w:val="00C12859"/>
    <w:rsid w:val="00C41738"/>
    <w:rsid w:val="00C52FB4"/>
    <w:rsid w:val="00C6411E"/>
    <w:rsid w:val="00C91224"/>
    <w:rsid w:val="00C96A3F"/>
    <w:rsid w:val="00CA6CD0"/>
    <w:rsid w:val="00CB54BA"/>
    <w:rsid w:val="00CC5144"/>
    <w:rsid w:val="00CC638F"/>
    <w:rsid w:val="00CD08FE"/>
    <w:rsid w:val="00CE56D4"/>
    <w:rsid w:val="00CF2F51"/>
    <w:rsid w:val="00CF6CC0"/>
    <w:rsid w:val="00D00E0D"/>
    <w:rsid w:val="00D160FF"/>
    <w:rsid w:val="00D2762F"/>
    <w:rsid w:val="00D30F4A"/>
    <w:rsid w:val="00D400B8"/>
    <w:rsid w:val="00D5157B"/>
    <w:rsid w:val="00D608FF"/>
    <w:rsid w:val="00D627F8"/>
    <w:rsid w:val="00D63196"/>
    <w:rsid w:val="00D74B4F"/>
    <w:rsid w:val="00D80BA9"/>
    <w:rsid w:val="00D82E86"/>
    <w:rsid w:val="00DA5063"/>
    <w:rsid w:val="00DB4599"/>
    <w:rsid w:val="00DC45F4"/>
    <w:rsid w:val="00DD031C"/>
    <w:rsid w:val="00DD50B5"/>
    <w:rsid w:val="00DE69C1"/>
    <w:rsid w:val="00DE72E2"/>
    <w:rsid w:val="00DF09C7"/>
    <w:rsid w:val="00E10F25"/>
    <w:rsid w:val="00E13762"/>
    <w:rsid w:val="00E147D2"/>
    <w:rsid w:val="00E21406"/>
    <w:rsid w:val="00E259FD"/>
    <w:rsid w:val="00E3114A"/>
    <w:rsid w:val="00E3637E"/>
    <w:rsid w:val="00E36DEA"/>
    <w:rsid w:val="00E37063"/>
    <w:rsid w:val="00E46BC3"/>
    <w:rsid w:val="00E5037C"/>
    <w:rsid w:val="00E505AA"/>
    <w:rsid w:val="00E52352"/>
    <w:rsid w:val="00E55408"/>
    <w:rsid w:val="00E67659"/>
    <w:rsid w:val="00E82D22"/>
    <w:rsid w:val="00E94C86"/>
    <w:rsid w:val="00EA2796"/>
    <w:rsid w:val="00EA4A0B"/>
    <w:rsid w:val="00EB50BF"/>
    <w:rsid w:val="00EC0781"/>
    <w:rsid w:val="00ED40AE"/>
    <w:rsid w:val="00ED6E00"/>
    <w:rsid w:val="00EE3E9E"/>
    <w:rsid w:val="00EF3A05"/>
    <w:rsid w:val="00EF6B60"/>
    <w:rsid w:val="00EF79E7"/>
    <w:rsid w:val="00F00CE0"/>
    <w:rsid w:val="00F0121A"/>
    <w:rsid w:val="00F04F2F"/>
    <w:rsid w:val="00F128C4"/>
    <w:rsid w:val="00F274D7"/>
    <w:rsid w:val="00F2759F"/>
    <w:rsid w:val="00F277B3"/>
    <w:rsid w:val="00F51151"/>
    <w:rsid w:val="00F55F2B"/>
    <w:rsid w:val="00F60B2D"/>
    <w:rsid w:val="00F655CC"/>
    <w:rsid w:val="00F905EA"/>
    <w:rsid w:val="00F90E3C"/>
    <w:rsid w:val="00FA0DF7"/>
    <w:rsid w:val="00FB7353"/>
    <w:rsid w:val="00FC5881"/>
    <w:rsid w:val="00FE340B"/>
    <w:rsid w:val="00FE4508"/>
    <w:rsid w:val="00FF3196"/>
    <w:rsid w:val="00FF38EA"/>
    <w:rsid w:val="00FF4F42"/>
    <w:rsid w:val="014721C8"/>
    <w:rsid w:val="01652C76"/>
    <w:rsid w:val="0190000F"/>
    <w:rsid w:val="0192173E"/>
    <w:rsid w:val="0192652E"/>
    <w:rsid w:val="019346B4"/>
    <w:rsid w:val="01974C59"/>
    <w:rsid w:val="01B834D9"/>
    <w:rsid w:val="01C0309B"/>
    <w:rsid w:val="021533E7"/>
    <w:rsid w:val="026F1557"/>
    <w:rsid w:val="028D5B20"/>
    <w:rsid w:val="029467CE"/>
    <w:rsid w:val="02C94814"/>
    <w:rsid w:val="02E1151B"/>
    <w:rsid w:val="02F51B7B"/>
    <w:rsid w:val="02F53218"/>
    <w:rsid w:val="02FE70D4"/>
    <w:rsid w:val="0332621A"/>
    <w:rsid w:val="035A3024"/>
    <w:rsid w:val="035E4476"/>
    <w:rsid w:val="03604B36"/>
    <w:rsid w:val="03666BCB"/>
    <w:rsid w:val="03685798"/>
    <w:rsid w:val="036917C6"/>
    <w:rsid w:val="03850F32"/>
    <w:rsid w:val="038F0F77"/>
    <w:rsid w:val="03A9211F"/>
    <w:rsid w:val="03B60A78"/>
    <w:rsid w:val="03BB6210"/>
    <w:rsid w:val="04101357"/>
    <w:rsid w:val="041A2F36"/>
    <w:rsid w:val="042C4A18"/>
    <w:rsid w:val="043A5387"/>
    <w:rsid w:val="047A608B"/>
    <w:rsid w:val="04A42800"/>
    <w:rsid w:val="04B8416E"/>
    <w:rsid w:val="04D74983"/>
    <w:rsid w:val="04E4070E"/>
    <w:rsid w:val="04FE11CA"/>
    <w:rsid w:val="04FE4606"/>
    <w:rsid w:val="050553B0"/>
    <w:rsid w:val="05141753"/>
    <w:rsid w:val="05235E1B"/>
    <w:rsid w:val="054F3EE5"/>
    <w:rsid w:val="05564DE4"/>
    <w:rsid w:val="05594913"/>
    <w:rsid w:val="056F54F3"/>
    <w:rsid w:val="05A620DA"/>
    <w:rsid w:val="05CC0260"/>
    <w:rsid w:val="05D76C05"/>
    <w:rsid w:val="05F15F19"/>
    <w:rsid w:val="05F87CE5"/>
    <w:rsid w:val="061A2843"/>
    <w:rsid w:val="06283A70"/>
    <w:rsid w:val="062A4F87"/>
    <w:rsid w:val="06316B04"/>
    <w:rsid w:val="06366E21"/>
    <w:rsid w:val="06541664"/>
    <w:rsid w:val="066B643B"/>
    <w:rsid w:val="06E635A4"/>
    <w:rsid w:val="070735AF"/>
    <w:rsid w:val="070A2ED1"/>
    <w:rsid w:val="070B6691"/>
    <w:rsid w:val="071023CF"/>
    <w:rsid w:val="072950F8"/>
    <w:rsid w:val="074232B2"/>
    <w:rsid w:val="075A5BF2"/>
    <w:rsid w:val="075C73C2"/>
    <w:rsid w:val="07A5520D"/>
    <w:rsid w:val="07BC4304"/>
    <w:rsid w:val="07C94DF8"/>
    <w:rsid w:val="07EC6998"/>
    <w:rsid w:val="083E35D3"/>
    <w:rsid w:val="087D5ACD"/>
    <w:rsid w:val="08D26048"/>
    <w:rsid w:val="08F5539B"/>
    <w:rsid w:val="09023F99"/>
    <w:rsid w:val="09053453"/>
    <w:rsid w:val="09134A1B"/>
    <w:rsid w:val="092E2156"/>
    <w:rsid w:val="09475E50"/>
    <w:rsid w:val="0989231B"/>
    <w:rsid w:val="09A03F97"/>
    <w:rsid w:val="09BC683E"/>
    <w:rsid w:val="09C25C4E"/>
    <w:rsid w:val="09E3625C"/>
    <w:rsid w:val="0A035AFC"/>
    <w:rsid w:val="0A320633"/>
    <w:rsid w:val="0A3E7253"/>
    <w:rsid w:val="0A994AE9"/>
    <w:rsid w:val="0AA745C0"/>
    <w:rsid w:val="0AFC73D0"/>
    <w:rsid w:val="0B173849"/>
    <w:rsid w:val="0B293A5F"/>
    <w:rsid w:val="0B3145FC"/>
    <w:rsid w:val="0B5A0A22"/>
    <w:rsid w:val="0B7C51A7"/>
    <w:rsid w:val="0B9F7DFD"/>
    <w:rsid w:val="0C03123C"/>
    <w:rsid w:val="0C374770"/>
    <w:rsid w:val="0C443DED"/>
    <w:rsid w:val="0C8A5352"/>
    <w:rsid w:val="0C8C24F7"/>
    <w:rsid w:val="0C9B098C"/>
    <w:rsid w:val="0CA041F5"/>
    <w:rsid w:val="0CA830A9"/>
    <w:rsid w:val="0CD6161B"/>
    <w:rsid w:val="0CD734BA"/>
    <w:rsid w:val="0CFF0CBF"/>
    <w:rsid w:val="0D1424ED"/>
    <w:rsid w:val="0D1D3A97"/>
    <w:rsid w:val="0D853DF7"/>
    <w:rsid w:val="0DA87805"/>
    <w:rsid w:val="0DA9532B"/>
    <w:rsid w:val="0DDE4FD5"/>
    <w:rsid w:val="0DEF7C17"/>
    <w:rsid w:val="0E0A5249"/>
    <w:rsid w:val="0E1529C0"/>
    <w:rsid w:val="0E2A20C4"/>
    <w:rsid w:val="0E323572"/>
    <w:rsid w:val="0E7B0B99"/>
    <w:rsid w:val="0E9F59A3"/>
    <w:rsid w:val="0EA25B69"/>
    <w:rsid w:val="0ECE5049"/>
    <w:rsid w:val="0ED91C40"/>
    <w:rsid w:val="0EF645A0"/>
    <w:rsid w:val="0EFD592E"/>
    <w:rsid w:val="0F0A656C"/>
    <w:rsid w:val="0F0D0E9D"/>
    <w:rsid w:val="0F124079"/>
    <w:rsid w:val="0F1B0719"/>
    <w:rsid w:val="0F3A75A5"/>
    <w:rsid w:val="0F3C6790"/>
    <w:rsid w:val="0F5D7F67"/>
    <w:rsid w:val="0F6C6610"/>
    <w:rsid w:val="0F7D149F"/>
    <w:rsid w:val="0F933B9D"/>
    <w:rsid w:val="0FAE2C4A"/>
    <w:rsid w:val="0FE954A1"/>
    <w:rsid w:val="101270D2"/>
    <w:rsid w:val="102D113C"/>
    <w:rsid w:val="103329E0"/>
    <w:rsid w:val="10400A0A"/>
    <w:rsid w:val="10593E12"/>
    <w:rsid w:val="108030D5"/>
    <w:rsid w:val="108F575E"/>
    <w:rsid w:val="10A32505"/>
    <w:rsid w:val="10A6065D"/>
    <w:rsid w:val="10D1490E"/>
    <w:rsid w:val="10F35EDA"/>
    <w:rsid w:val="1108228B"/>
    <w:rsid w:val="11275626"/>
    <w:rsid w:val="115E478A"/>
    <w:rsid w:val="117D172C"/>
    <w:rsid w:val="118C44E1"/>
    <w:rsid w:val="11AE4CBE"/>
    <w:rsid w:val="11B06A21"/>
    <w:rsid w:val="11CA598B"/>
    <w:rsid w:val="11EE5A02"/>
    <w:rsid w:val="1230601B"/>
    <w:rsid w:val="1235718D"/>
    <w:rsid w:val="124D2044"/>
    <w:rsid w:val="12527EC6"/>
    <w:rsid w:val="125804FE"/>
    <w:rsid w:val="126F08F1"/>
    <w:rsid w:val="12833A99"/>
    <w:rsid w:val="128C2791"/>
    <w:rsid w:val="129D5472"/>
    <w:rsid w:val="12AD1419"/>
    <w:rsid w:val="12D3400A"/>
    <w:rsid w:val="12F148DB"/>
    <w:rsid w:val="12F77EDC"/>
    <w:rsid w:val="13047B2D"/>
    <w:rsid w:val="130C61AA"/>
    <w:rsid w:val="13196AAF"/>
    <w:rsid w:val="132A2A6A"/>
    <w:rsid w:val="134135E9"/>
    <w:rsid w:val="13992412"/>
    <w:rsid w:val="13AE71F7"/>
    <w:rsid w:val="13D34EB0"/>
    <w:rsid w:val="13FC4F94"/>
    <w:rsid w:val="14141615"/>
    <w:rsid w:val="1420386C"/>
    <w:rsid w:val="142324BC"/>
    <w:rsid w:val="14315BB6"/>
    <w:rsid w:val="143D67CD"/>
    <w:rsid w:val="14421072"/>
    <w:rsid w:val="14680729"/>
    <w:rsid w:val="146D70B2"/>
    <w:rsid w:val="1494414E"/>
    <w:rsid w:val="14983A03"/>
    <w:rsid w:val="149E1808"/>
    <w:rsid w:val="14AD3A0C"/>
    <w:rsid w:val="14BB32C0"/>
    <w:rsid w:val="14CB5B87"/>
    <w:rsid w:val="14CE7A61"/>
    <w:rsid w:val="151B735A"/>
    <w:rsid w:val="152A0AFF"/>
    <w:rsid w:val="154B0466"/>
    <w:rsid w:val="15507DD6"/>
    <w:rsid w:val="15644060"/>
    <w:rsid w:val="15686AE6"/>
    <w:rsid w:val="15A74529"/>
    <w:rsid w:val="15D17A1E"/>
    <w:rsid w:val="15DF5D8E"/>
    <w:rsid w:val="15FC43F3"/>
    <w:rsid w:val="15FF215B"/>
    <w:rsid w:val="160B6B83"/>
    <w:rsid w:val="16192E42"/>
    <w:rsid w:val="1625359E"/>
    <w:rsid w:val="162D296C"/>
    <w:rsid w:val="165B4FA3"/>
    <w:rsid w:val="16893F4C"/>
    <w:rsid w:val="168F1690"/>
    <w:rsid w:val="16A26170"/>
    <w:rsid w:val="16B86D4F"/>
    <w:rsid w:val="16F0270F"/>
    <w:rsid w:val="17067369"/>
    <w:rsid w:val="17285513"/>
    <w:rsid w:val="174F1A50"/>
    <w:rsid w:val="17534ABC"/>
    <w:rsid w:val="17756F4E"/>
    <w:rsid w:val="17DC62AD"/>
    <w:rsid w:val="18224E73"/>
    <w:rsid w:val="185D743E"/>
    <w:rsid w:val="1871572C"/>
    <w:rsid w:val="18AB5ADB"/>
    <w:rsid w:val="18B879A2"/>
    <w:rsid w:val="18C56E80"/>
    <w:rsid w:val="18D747DB"/>
    <w:rsid w:val="18F2339C"/>
    <w:rsid w:val="19000A5A"/>
    <w:rsid w:val="19026A17"/>
    <w:rsid w:val="191B0EA9"/>
    <w:rsid w:val="19202945"/>
    <w:rsid w:val="19226214"/>
    <w:rsid w:val="193E4951"/>
    <w:rsid w:val="195023E1"/>
    <w:rsid w:val="19564534"/>
    <w:rsid w:val="197E0C38"/>
    <w:rsid w:val="197E4CF9"/>
    <w:rsid w:val="19834C82"/>
    <w:rsid w:val="19B14FEC"/>
    <w:rsid w:val="19BF78E5"/>
    <w:rsid w:val="19C01A32"/>
    <w:rsid w:val="19E2665F"/>
    <w:rsid w:val="19EF056A"/>
    <w:rsid w:val="19F643E0"/>
    <w:rsid w:val="1A017F71"/>
    <w:rsid w:val="1A1344B8"/>
    <w:rsid w:val="1A2F6BB8"/>
    <w:rsid w:val="1A482653"/>
    <w:rsid w:val="1A532DCB"/>
    <w:rsid w:val="1A5360ED"/>
    <w:rsid w:val="1A564145"/>
    <w:rsid w:val="1A6B4094"/>
    <w:rsid w:val="1A82318C"/>
    <w:rsid w:val="1AE44FE6"/>
    <w:rsid w:val="1B1C713C"/>
    <w:rsid w:val="1B4A3CA9"/>
    <w:rsid w:val="1B5527F4"/>
    <w:rsid w:val="1B6A60FA"/>
    <w:rsid w:val="1B7A1471"/>
    <w:rsid w:val="1B8D003A"/>
    <w:rsid w:val="1B9413C8"/>
    <w:rsid w:val="1BCD078D"/>
    <w:rsid w:val="1BEC157F"/>
    <w:rsid w:val="1BF63E31"/>
    <w:rsid w:val="1BF73705"/>
    <w:rsid w:val="1C1F666B"/>
    <w:rsid w:val="1C756319"/>
    <w:rsid w:val="1C827473"/>
    <w:rsid w:val="1C8F6373"/>
    <w:rsid w:val="1C9D10B7"/>
    <w:rsid w:val="1CCF0A82"/>
    <w:rsid w:val="1CD04536"/>
    <w:rsid w:val="1CD221A8"/>
    <w:rsid w:val="1D0D6599"/>
    <w:rsid w:val="1D2739F0"/>
    <w:rsid w:val="1D29198B"/>
    <w:rsid w:val="1D314735"/>
    <w:rsid w:val="1D444728"/>
    <w:rsid w:val="1D7C3EC2"/>
    <w:rsid w:val="1E000ADF"/>
    <w:rsid w:val="1E573D8C"/>
    <w:rsid w:val="1E810B6E"/>
    <w:rsid w:val="1E830574"/>
    <w:rsid w:val="1E85149C"/>
    <w:rsid w:val="1EA74406"/>
    <w:rsid w:val="1EC27FFB"/>
    <w:rsid w:val="1ED3045A"/>
    <w:rsid w:val="1ED63AA6"/>
    <w:rsid w:val="1EEB57A3"/>
    <w:rsid w:val="1F022FAF"/>
    <w:rsid w:val="1F5C21FD"/>
    <w:rsid w:val="1F805B18"/>
    <w:rsid w:val="1FA7389F"/>
    <w:rsid w:val="1FAB4482"/>
    <w:rsid w:val="1FBF453A"/>
    <w:rsid w:val="1FE02E2E"/>
    <w:rsid w:val="200D34F7"/>
    <w:rsid w:val="20126D57"/>
    <w:rsid w:val="202745B8"/>
    <w:rsid w:val="202968C2"/>
    <w:rsid w:val="204D1B46"/>
    <w:rsid w:val="206A6B9C"/>
    <w:rsid w:val="20713A86"/>
    <w:rsid w:val="20A07A4F"/>
    <w:rsid w:val="20D109C9"/>
    <w:rsid w:val="21253359"/>
    <w:rsid w:val="21274A8D"/>
    <w:rsid w:val="2129610F"/>
    <w:rsid w:val="212E7BC9"/>
    <w:rsid w:val="214B42D7"/>
    <w:rsid w:val="219B3777"/>
    <w:rsid w:val="21A5397E"/>
    <w:rsid w:val="21A8172A"/>
    <w:rsid w:val="21AB45D6"/>
    <w:rsid w:val="21C30F9A"/>
    <w:rsid w:val="21FE27AC"/>
    <w:rsid w:val="2208666C"/>
    <w:rsid w:val="222B71E2"/>
    <w:rsid w:val="223F4001"/>
    <w:rsid w:val="2245294B"/>
    <w:rsid w:val="22CF0D56"/>
    <w:rsid w:val="22D05C8E"/>
    <w:rsid w:val="22D8603F"/>
    <w:rsid w:val="22E13C66"/>
    <w:rsid w:val="22F64DD9"/>
    <w:rsid w:val="230A275D"/>
    <w:rsid w:val="23164DB9"/>
    <w:rsid w:val="231F75A2"/>
    <w:rsid w:val="23572A04"/>
    <w:rsid w:val="236E2037"/>
    <w:rsid w:val="23712A6C"/>
    <w:rsid w:val="237B69CA"/>
    <w:rsid w:val="23810484"/>
    <w:rsid w:val="238D507B"/>
    <w:rsid w:val="23931F66"/>
    <w:rsid w:val="23A3664D"/>
    <w:rsid w:val="23C51E88"/>
    <w:rsid w:val="23CD7FEA"/>
    <w:rsid w:val="23EE54AF"/>
    <w:rsid w:val="240864B0"/>
    <w:rsid w:val="241642B7"/>
    <w:rsid w:val="24342AA6"/>
    <w:rsid w:val="244A4D1A"/>
    <w:rsid w:val="24BF75C9"/>
    <w:rsid w:val="24CD14A7"/>
    <w:rsid w:val="24F15310"/>
    <w:rsid w:val="24FE69A6"/>
    <w:rsid w:val="24FF4C58"/>
    <w:rsid w:val="255147C1"/>
    <w:rsid w:val="25565E93"/>
    <w:rsid w:val="25DD571A"/>
    <w:rsid w:val="26102638"/>
    <w:rsid w:val="2638181B"/>
    <w:rsid w:val="263D1B90"/>
    <w:rsid w:val="2658047A"/>
    <w:rsid w:val="26955FF5"/>
    <w:rsid w:val="269C03BA"/>
    <w:rsid w:val="26AA4FEE"/>
    <w:rsid w:val="26CA0394"/>
    <w:rsid w:val="26CE23C7"/>
    <w:rsid w:val="26E17C7C"/>
    <w:rsid w:val="26E56F73"/>
    <w:rsid w:val="26E62EA6"/>
    <w:rsid w:val="27011ED2"/>
    <w:rsid w:val="27135850"/>
    <w:rsid w:val="272307B0"/>
    <w:rsid w:val="274E52FB"/>
    <w:rsid w:val="27D52B4D"/>
    <w:rsid w:val="27E159F6"/>
    <w:rsid w:val="280F688E"/>
    <w:rsid w:val="281F2A91"/>
    <w:rsid w:val="28295FD2"/>
    <w:rsid w:val="2843352C"/>
    <w:rsid w:val="284C1907"/>
    <w:rsid w:val="28B22E8E"/>
    <w:rsid w:val="28B231D5"/>
    <w:rsid w:val="28B31D8B"/>
    <w:rsid w:val="28B465B7"/>
    <w:rsid w:val="28C341D8"/>
    <w:rsid w:val="28C64A41"/>
    <w:rsid w:val="28E75124"/>
    <w:rsid w:val="291F125C"/>
    <w:rsid w:val="29211DC2"/>
    <w:rsid w:val="2928030B"/>
    <w:rsid w:val="29360429"/>
    <w:rsid w:val="29700803"/>
    <w:rsid w:val="297029DF"/>
    <w:rsid w:val="29752839"/>
    <w:rsid w:val="297A0FD2"/>
    <w:rsid w:val="29813E46"/>
    <w:rsid w:val="29841AF2"/>
    <w:rsid w:val="29C0093F"/>
    <w:rsid w:val="29CE355D"/>
    <w:rsid w:val="2A125119"/>
    <w:rsid w:val="2A575DDA"/>
    <w:rsid w:val="2A5A6E32"/>
    <w:rsid w:val="2A792FCF"/>
    <w:rsid w:val="2AA1140C"/>
    <w:rsid w:val="2AAD598E"/>
    <w:rsid w:val="2AC23FE3"/>
    <w:rsid w:val="2B003E83"/>
    <w:rsid w:val="2B5418B4"/>
    <w:rsid w:val="2B6D3EA6"/>
    <w:rsid w:val="2B717030"/>
    <w:rsid w:val="2B814B1C"/>
    <w:rsid w:val="2B844FB6"/>
    <w:rsid w:val="2B9D7E25"/>
    <w:rsid w:val="2BA30946"/>
    <w:rsid w:val="2BAF4EC9"/>
    <w:rsid w:val="2BB45875"/>
    <w:rsid w:val="2BB93F2B"/>
    <w:rsid w:val="2BC2788C"/>
    <w:rsid w:val="2BCA4021"/>
    <w:rsid w:val="2BE16246"/>
    <w:rsid w:val="2BE315B0"/>
    <w:rsid w:val="2C1F24A7"/>
    <w:rsid w:val="2C361F03"/>
    <w:rsid w:val="2C6D7E3D"/>
    <w:rsid w:val="2C6E531E"/>
    <w:rsid w:val="2C8D5567"/>
    <w:rsid w:val="2C930C9B"/>
    <w:rsid w:val="2CA868F9"/>
    <w:rsid w:val="2CC82C80"/>
    <w:rsid w:val="2D0406DC"/>
    <w:rsid w:val="2D3E7F52"/>
    <w:rsid w:val="2D420803"/>
    <w:rsid w:val="2D5B6892"/>
    <w:rsid w:val="2D766B80"/>
    <w:rsid w:val="2DB63420"/>
    <w:rsid w:val="2DDB6CD0"/>
    <w:rsid w:val="2DDF519D"/>
    <w:rsid w:val="2E1015B1"/>
    <w:rsid w:val="2E26737C"/>
    <w:rsid w:val="2E312AA7"/>
    <w:rsid w:val="2E357E99"/>
    <w:rsid w:val="2E5C63A4"/>
    <w:rsid w:val="2E6C1D31"/>
    <w:rsid w:val="2E7F39BA"/>
    <w:rsid w:val="2E86296F"/>
    <w:rsid w:val="2ECE02F6"/>
    <w:rsid w:val="2EF97A69"/>
    <w:rsid w:val="2F1748AE"/>
    <w:rsid w:val="2F1874A5"/>
    <w:rsid w:val="2F2B531E"/>
    <w:rsid w:val="2F3A4A56"/>
    <w:rsid w:val="2F461702"/>
    <w:rsid w:val="2F4D512A"/>
    <w:rsid w:val="2F765631"/>
    <w:rsid w:val="2F9037FD"/>
    <w:rsid w:val="2F951B55"/>
    <w:rsid w:val="2FE90A29"/>
    <w:rsid w:val="2FF46103"/>
    <w:rsid w:val="301937F3"/>
    <w:rsid w:val="30885C9A"/>
    <w:rsid w:val="308D56F1"/>
    <w:rsid w:val="309D2676"/>
    <w:rsid w:val="30B83143"/>
    <w:rsid w:val="30C01B6C"/>
    <w:rsid w:val="30D337A9"/>
    <w:rsid w:val="30D37E45"/>
    <w:rsid w:val="30F937CB"/>
    <w:rsid w:val="31035E8E"/>
    <w:rsid w:val="310B5CE5"/>
    <w:rsid w:val="31117DFD"/>
    <w:rsid w:val="316025BD"/>
    <w:rsid w:val="319770C5"/>
    <w:rsid w:val="31B732C3"/>
    <w:rsid w:val="31CF685F"/>
    <w:rsid w:val="31DE5595"/>
    <w:rsid w:val="32065607"/>
    <w:rsid w:val="32091750"/>
    <w:rsid w:val="322E5C7B"/>
    <w:rsid w:val="32557825"/>
    <w:rsid w:val="329F38A8"/>
    <w:rsid w:val="32B141B6"/>
    <w:rsid w:val="32ED1692"/>
    <w:rsid w:val="33027B35"/>
    <w:rsid w:val="33161CB0"/>
    <w:rsid w:val="33171A40"/>
    <w:rsid w:val="332E17B4"/>
    <w:rsid w:val="33317276"/>
    <w:rsid w:val="337A293E"/>
    <w:rsid w:val="33A66798"/>
    <w:rsid w:val="33D171A0"/>
    <w:rsid w:val="33EC7B9C"/>
    <w:rsid w:val="33F121CE"/>
    <w:rsid w:val="34005CCC"/>
    <w:rsid w:val="34005D7C"/>
    <w:rsid w:val="34024BA7"/>
    <w:rsid w:val="34436C5B"/>
    <w:rsid w:val="34476761"/>
    <w:rsid w:val="346D4FA3"/>
    <w:rsid w:val="3472531F"/>
    <w:rsid w:val="34A42225"/>
    <w:rsid w:val="34A86B19"/>
    <w:rsid w:val="34B65AB4"/>
    <w:rsid w:val="34C776A5"/>
    <w:rsid w:val="34F8431E"/>
    <w:rsid w:val="35266BDF"/>
    <w:rsid w:val="3566572C"/>
    <w:rsid w:val="35681C45"/>
    <w:rsid w:val="357E0CC8"/>
    <w:rsid w:val="359F1FBC"/>
    <w:rsid w:val="35B00755"/>
    <w:rsid w:val="35DF3E2C"/>
    <w:rsid w:val="35FE7713"/>
    <w:rsid w:val="361138EA"/>
    <w:rsid w:val="363E2635"/>
    <w:rsid w:val="368E5986"/>
    <w:rsid w:val="36B11D86"/>
    <w:rsid w:val="36C3270A"/>
    <w:rsid w:val="36D24142"/>
    <w:rsid w:val="36FB00F6"/>
    <w:rsid w:val="379469AA"/>
    <w:rsid w:val="37B753E1"/>
    <w:rsid w:val="37B85D84"/>
    <w:rsid w:val="37BF130A"/>
    <w:rsid w:val="37DE3C9F"/>
    <w:rsid w:val="37F23D4F"/>
    <w:rsid w:val="380914F9"/>
    <w:rsid w:val="381256F7"/>
    <w:rsid w:val="38284F1B"/>
    <w:rsid w:val="384D7D2F"/>
    <w:rsid w:val="386923B5"/>
    <w:rsid w:val="386A72E1"/>
    <w:rsid w:val="388622E1"/>
    <w:rsid w:val="38A14476"/>
    <w:rsid w:val="38BB44F8"/>
    <w:rsid w:val="38F06EC1"/>
    <w:rsid w:val="390250CF"/>
    <w:rsid w:val="39150E6A"/>
    <w:rsid w:val="3922196A"/>
    <w:rsid w:val="392E6561"/>
    <w:rsid w:val="39453B35"/>
    <w:rsid w:val="397B72CC"/>
    <w:rsid w:val="399B6E48"/>
    <w:rsid w:val="399F745E"/>
    <w:rsid w:val="39DE50DF"/>
    <w:rsid w:val="39E97DA8"/>
    <w:rsid w:val="39FC0285"/>
    <w:rsid w:val="3A2D53D3"/>
    <w:rsid w:val="3A5D658B"/>
    <w:rsid w:val="3A606BEE"/>
    <w:rsid w:val="3A74375B"/>
    <w:rsid w:val="3A8328DC"/>
    <w:rsid w:val="3ABF0DE5"/>
    <w:rsid w:val="3ACC0390"/>
    <w:rsid w:val="3B0D66AF"/>
    <w:rsid w:val="3B1809F4"/>
    <w:rsid w:val="3B304812"/>
    <w:rsid w:val="3B57440D"/>
    <w:rsid w:val="3B876FEE"/>
    <w:rsid w:val="3C4E3946"/>
    <w:rsid w:val="3C7338D4"/>
    <w:rsid w:val="3CA54D8C"/>
    <w:rsid w:val="3CB60D47"/>
    <w:rsid w:val="3CCD7E3F"/>
    <w:rsid w:val="3D0818DE"/>
    <w:rsid w:val="3D223110"/>
    <w:rsid w:val="3D375DEE"/>
    <w:rsid w:val="3D4A0262"/>
    <w:rsid w:val="3D5B544A"/>
    <w:rsid w:val="3D6548C9"/>
    <w:rsid w:val="3D9848F1"/>
    <w:rsid w:val="3DFF235E"/>
    <w:rsid w:val="3E024204"/>
    <w:rsid w:val="3E134089"/>
    <w:rsid w:val="3E1E10A3"/>
    <w:rsid w:val="3E2B5816"/>
    <w:rsid w:val="3E2D328B"/>
    <w:rsid w:val="3E433EC5"/>
    <w:rsid w:val="3E530817"/>
    <w:rsid w:val="3E794429"/>
    <w:rsid w:val="3ECF1C0B"/>
    <w:rsid w:val="3EF06654"/>
    <w:rsid w:val="3EFE0783"/>
    <w:rsid w:val="3F0B53B6"/>
    <w:rsid w:val="3F0B5E58"/>
    <w:rsid w:val="3F3F4501"/>
    <w:rsid w:val="3F5E7474"/>
    <w:rsid w:val="3FA806EF"/>
    <w:rsid w:val="3FAC6FFF"/>
    <w:rsid w:val="3FBB6D1E"/>
    <w:rsid w:val="3FC31616"/>
    <w:rsid w:val="3FDF0542"/>
    <w:rsid w:val="3FE61943"/>
    <w:rsid w:val="3FF65BA6"/>
    <w:rsid w:val="40214BCE"/>
    <w:rsid w:val="402C77AF"/>
    <w:rsid w:val="40413BC0"/>
    <w:rsid w:val="404C54B6"/>
    <w:rsid w:val="404D19C2"/>
    <w:rsid w:val="405B29AE"/>
    <w:rsid w:val="4061546E"/>
    <w:rsid w:val="40624D42"/>
    <w:rsid w:val="40645404"/>
    <w:rsid w:val="40662B05"/>
    <w:rsid w:val="40A8309D"/>
    <w:rsid w:val="40B530C4"/>
    <w:rsid w:val="40BD673B"/>
    <w:rsid w:val="40E41BFD"/>
    <w:rsid w:val="410D4CAE"/>
    <w:rsid w:val="411E6EBB"/>
    <w:rsid w:val="414454AC"/>
    <w:rsid w:val="41724A35"/>
    <w:rsid w:val="418E1E27"/>
    <w:rsid w:val="41C43501"/>
    <w:rsid w:val="41EE293B"/>
    <w:rsid w:val="421A15CA"/>
    <w:rsid w:val="42477018"/>
    <w:rsid w:val="42930139"/>
    <w:rsid w:val="429468FF"/>
    <w:rsid w:val="42954E58"/>
    <w:rsid w:val="42B81A6C"/>
    <w:rsid w:val="42CE6F96"/>
    <w:rsid w:val="42D95B1D"/>
    <w:rsid w:val="42E5074D"/>
    <w:rsid w:val="42EB7BF8"/>
    <w:rsid w:val="43081BD1"/>
    <w:rsid w:val="433579CB"/>
    <w:rsid w:val="433E3844"/>
    <w:rsid w:val="434D77B5"/>
    <w:rsid w:val="43C56E55"/>
    <w:rsid w:val="440F15CC"/>
    <w:rsid w:val="44421414"/>
    <w:rsid w:val="447145AC"/>
    <w:rsid w:val="447B5906"/>
    <w:rsid w:val="449D27EC"/>
    <w:rsid w:val="44B518E4"/>
    <w:rsid w:val="44E346A3"/>
    <w:rsid w:val="451101B4"/>
    <w:rsid w:val="45116970"/>
    <w:rsid w:val="45505AB1"/>
    <w:rsid w:val="455C1D23"/>
    <w:rsid w:val="456C6EA3"/>
    <w:rsid w:val="457166A3"/>
    <w:rsid w:val="4571701E"/>
    <w:rsid w:val="458F62C5"/>
    <w:rsid w:val="45B846D6"/>
    <w:rsid w:val="45E61DF3"/>
    <w:rsid w:val="45F03789"/>
    <w:rsid w:val="461F120F"/>
    <w:rsid w:val="46466665"/>
    <w:rsid w:val="465667F3"/>
    <w:rsid w:val="467F5F4E"/>
    <w:rsid w:val="46942B75"/>
    <w:rsid w:val="46AC0B38"/>
    <w:rsid w:val="46AD1C5C"/>
    <w:rsid w:val="46C621F8"/>
    <w:rsid w:val="46C74CB2"/>
    <w:rsid w:val="46D26416"/>
    <w:rsid w:val="46EE7A04"/>
    <w:rsid w:val="46F73EFE"/>
    <w:rsid w:val="47182221"/>
    <w:rsid w:val="47251581"/>
    <w:rsid w:val="472B0583"/>
    <w:rsid w:val="473D4AA6"/>
    <w:rsid w:val="47831EC6"/>
    <w:rsid w:val="47835CCA"/>
    <w:rsid w:val="47AC261D"/>
    <w:rsid w:val="47C952BE"/>
    <w:rsid w:val="47F866B8"/>
    <w:rsid w:val="4800243F"/>
    <w:rsid w:val="48360F8E"/>
    <w:rsid w:val="48515895"/>
    <w:rsid w:val="4880045B"/>
    <w:rsid w:val="489071B1"/>
    <w:rsid w:val="48AB707A"/>
    <w:rsid w:val="48CB3DCC"/>
    <w:rsid w:val="48DC3EA4"/>
    <w:rsid w:val="4957539F"/>
    <w:rsid w:val="498273DA"/>
    <w:rsid w:val="49BA174B"/>
    <w:rsid w:val="4A0F5F3A"/>
    <w:rsid w:val="4A4A1E97"/>
    <w:rsid w:val="4A5369FC"/>
    <w:rsid w:val="4A5E0035"/>
    <w:rsid w:val="4A6022F2"/>
    <w:rsid w:val="4A72616E"/>
    <w:rsid w:val="4A7E13AA"/>
    <w:rsid w:val="4A9F67D2"/>
    <w:rsid w:val="4AA9577E"/>
    <w:rsid w:val="4AAF5DAB"/>
    <w:rsid w:val="4AB60427"/>
    <w:rsid w:val="4ABE526B"/>
    <w:rsid w:val="4AF41E46"/>
    <w:rsid w:val="4AF963A8"/>
    <w:rsid w:val="4AFF2603"/>
    <w:rsid w:val="4B21020E"/>
    <w:rsid w:val="4B3E65E3"/>
    <w:rsid w:val="4B5C51AF"/>
    <w:rsid w:val="4B612306"/>
    <w:rsid w:val="4B733DFC"/>
    <w:rsid w:val="4BA97CC9"/>
    <w:rsid w:val="4BB24DCF"/>
    <w:rsid w:val="4BBA7D72"/>
    <w:rsid w:val="4BBD78E5"/>
    <w:rsid w:val="4BEE272C"/>
    <w:rsid w:val="4BEF1883"/>
    <w:rsid w:val="4C080E93"/>
    <w:rsid w:val="4C11682B"/>
    <w:rsid w:val="4C1650B2"/>
    <w:rsid w:val="4C1B5578"/>
    <w:rsid w:val="4C2562B8"/>
    <w:rsid w:val="4C6B24D1"/>
    <w:rsid w:val="4C76404F"/>
    <w:rsid w:val="4C7B78B7"/>
    <w:rsid w:val="4C9D782D"/>
    <w:rsid w:val="4CA30BBC"/>
    <w:rsid w:val="4CC37DA4"/>
    <w:rsid w:val="4CEC7C96"/>
    <w:rsid w:val="4D404A61"/>
    <w:rsid w:val="4D5D2604"/>
    <w:rsid w:val="4D6E025B"/>
    <w:rsid w:val="4D9724CF"/>
    <w:rsid w:val="4DB7491F"/>
    <w:rsid w:val="4DC70847"/>
    <w:rsid w:val="4DD23507"/>
    <w:rsid w:val="4DFA0CB0"/>
    <w:rsid w:val="4E1C5C20"/>
    <w:rsid w:val="4E231FB4"/>
    <w:rsid w:val="4E4E766B"/>
    <w:rsid w:val="4E9407BC"/>
    <w:rsid w:val="4EA03CA5"/>
    <w:rsid w:val="4ECA2C67"/>
    <w:rsid w:val="4EDB63EB"/>
    <w:rsid w:val="4F301FFB"/>
    <w:rsid w:val="4F3124AF"/>
    <w:rsid w:val="4F615218"/>
    <w:rsid w:val="4F912F4E"/>
    <w:rsid w:val="4FC70024"/>
    <w:rsid w:val="4FE23633"/>
    <w:rsid w:val="4FF75C12"/>
    <w:rsid w:val="500473C8"/>
    <w:rsid w:val="501716A5"/>
    <w:rsid w:val="501E593B"/>
    <w:rsid w:val="501F507B"/>
    <w:rsid w:val="50537086"/>
    <w:rsid w:val="5075461D"/>
    <w:rsid w:val="508575FD"/>
    <w:rsid w:val="508E7FD8"/>
    <w:rsid w:val="50950E8F"/>
    <w:rsid w:val="50C555A5"/>
    <w:rsid w:val="50CB77E4"/>
    <w:rsid w:val="50DA6B33"/>
    <w:rsid w:val="50E05577"/>
    <w:rsid w:val="510936E3"/>
    <w:rsid w:val="51143E36"/>
    <w:rsid w:val="51432D97"/>
    <w:rsid w:val="51450494"/>
    <w:rsid w:val="51B91B10"/>
    <w:rsid w:val="51C615D4"/>
    <w:rsid w:val="51D535C6"/>
    <w:rsid w:val="51DB0E6D"/>
    <w:rsid w:val="51E101BC"/>
    <w:rsid w:val="52033527"/>
    <w:rsid w:val="52302EF2"/>
    <w:rsid w:val="52344790"/>
    <w:rsid w:val="52A5743C"/>
    <w:rsid w:val="52AD432F"/>
    <w:rsid w:val="52CB2629"/>
    <w:rsid w:val="52EB0BC7"/>
    <w:rsid w:val="52EC51F9"/>
    <w:rsid w:val="533D4C29"/>
    <w:rsid w:val="533D7674"/>
    <w:rsid w:val="53563A05"/>
    <w:rsid w:val="537806AC"/>
    <w:rsid w:val="537B70E8"/>
    <w:rsid w:val="5391417A"/>
    <w:rsid w:val="53A42FB0"/>
    <w:rsid w:val="53E4417F"/>
    <w:rsid w:val="53F07E0E"/>
    <w:rsid w:val="53FC12DE"/>
    <w:rsid w:val="53FF0DCE"/>
    <w:rsid w:val="543F566E"/>
    <w:rsid w:val="54463592"/>
    <w:rsid w:val="54631414"/>
    <w:rsid w:val="54A24105"/>
    <w:rsid w:val="54B343F8"/>
    <w:rsid w:val="54D7624F"/>
    <w:rsid w:val="550A5F6A"/>
    <w:rsid w:val="55222FC6"/>
    <w:rsid w:val="552503C0"/>
    <w:rsid w:val="5565260A"/>
    <w:rsid w:val="556A0633"/>
    <w:rsid w:val="55801A9A"/>
    <w:rsid w:val="55947B00"/>
    <w:rsid w:val="559C160C"/>
    <w:rsid w:val="55A36ACA"/>
    <w:rsid w:val="55EA25F4"/>
    <w:rsid w:val="55F936B0"/>
    <w:rsid w:val="56105220"/>
    <w:rsid w:val="56141978"/>
    <w:rsid w:val="562C6C2A"/>
    <w:rsid w:val="56306A8D"/>
    <w:rsid w:val="56426D2A"/>
    <w:rsid w:val="566061EA"/>
    <w:rsid w:val="56665134"/>
    <w:rsid w:val="567B29B7"/>
    <w:rsid w:val="567D422C"/>
    <w:rsid w:val="567E2E5B"/>
    <w:rsid w:val="5684306A"/>
    <w:rsid w:val="569321F9"/>
    <w:rsid w:val="56ED4DFF"/>
    <w:rsid w:val="56FD242B"/>
    <w:rsid w:val="56FF2E93"/>
    <w:rsid w:val="570B719E"/>
    <w:rsid w:val="571D0A24"/>
    <w:rsid w:val="572D6E80"/>
    <w:rsid w:val="5730129E"/>
    <w:rsid w:val="5742020A"/>
    <w:rsid w:val="574523D4"/>
    <w:rsid w:val="575E4A5F"/>
    <w:rsid w:val="57AF2B0B"/>
    <w:rsid w:val="57BA1568"/>
    <w:rsid w:val="57FE4E83"/>
    <w:rsid w:val="583C439E"/>
    <w:rsid w:val="585F360B"/>
    <w:rsid w:val="586F3DA4"/>
    <w:rsid w:val="58A4109F"/>
    <w:rsid w:val="58C53664"/>
    <w:rsid w:val="58CA7BFC"/>
    <w:rsid w:val="58E261A4"/>
    <w:rsid w:val="58E46427"/>
    <w:rsid w:val="58EF7372"/>
    <w:rsid w:val="591C0126"/>
    <w:rsid w:val="592D1F39"/>
    <w:rsid w:val="59484FC5"/>
    <w:rsid w:val="5970321C"/>
    <w:rsid w:val="59B871A6"/>
    <w:rsid w:val="59E9126C"/>
    <w:rsid w:val="59F164C0"/>
    <w:rsid w:val="59FB3DE5"/>
    <w:rsid w:val="59FC295D"/>
    <w:rsid w:val="5A206C61"/>
    <w:rsid w:val="5A33209D"/>
    <w:rsid w:val="5A3612C1"/>
    <w:rsid w:val="5A5116B3"/>
    <w:rsid w:val="5A8E638A"/>
    <w:rsid w:val="5AAC50E0"/>
    <w:rsid w:val="5B0D153B"/>
    <w:rsid w:val="5B101C36"/>
    <w:rsid w:val="5B6646FA"/>
    <w:rsid w:val="5B7E6A7C"/>
    <w:rsid w:val="5B863B83"/>
    <w:rsid w:val="5BB02F21"/>
    <w:rsid w:val="5BE87CC9"/>
    <w:rsid w:val="5BE9185D"/>
    <w:rsid w:val="5C060AA5"/>
    <w:rsid w:val="5C07081F"/>
    <w:rsid w:val="5C1E55D5"/>
    <w:rsid w:val="5C283570"/>
    <w:rsid w:val="5C334B6E"/>
    <w:rsid w:val="5C505ABB"/>
    <w:rsid w:val="5C912D76"/>
    <w:rsid w:val="5C957582"/>
    <w:rsid w:val="5C9D2BF9"/>
    <w:rsid w:val="5CD755A3"/>
    <w:rsid w:val="5CED7AAD"/>
    <w:rsid w:val="5CFF599B"/>
    <w:rsid w:val="5D1F428F"/>
    <w:rsid w:val="5D2B05FC"/>
    <w:rsid w:val="5D3509B0"/>
    <w:rsid w:val="5D380EAD"/>
    <w:rsid w:val="5D3970FE"/>
    <w:rsid w:val="5D3E3CB2"/>
    <w:rsid w:val="5D5F28DD"/>
    <w:rsid w:val="5D610403"/>
    <w:rsid w:val="5D746464"/>
    <w:rsid w:val="5D7F0889"/>
    <w:rsid w:val="5D9D0ED7"/>
    <w:rsid w:val="5DA57809"/>
    <w:rsid w:val="5DB23750"/>
    <w:rsid w:val="5DC63C8A"/>
    <w:rsid w:val="5DCB1D21"/>
    <w:rsid w:val="5DF25631"/>
    <w:rsid w:val="5E207782"/>
    <w:rsid w:val="5E594338"/>
    <w:rsid w:val="5E8A2B6F"/>
    <w:rsid w:val="5E954808"/>
    <w:rsid w:val="5EBC53F3"/>
    <w:rsid w:val="5ECE6555"/>
    <w:rsid w:val="5EFB0EFD"/>
    <w:rsid w:val="5F610AB6"/>
    <w:rsid w:val="5F6441DB"/>
    <w:rsid w:val="5F69359F"/>
    <w:rsid w:val="5F964DB4"/>
    <w:rsid w:val="5FA6729D"/>
    <w:rsid w:val="5FB540AC"/>
    <w:rsid w:val="5FCA787B"/>
    <w:rsid w:val="603D6F06"/>
    <w:rsid w:val="603E4A2C"/>
    <w:rsid w:val="60572CC0"/>
    <w:rsid w:val="60DB6759"/>
    <w:rsid w:val="60EF5D26"/>
    <w:rsid w:val="60F94B57"/>
    <w:rsid w:val="610712C2"/>
    <w:rsid w:val="611D0A6B"/>
    <w:rsid w:val="612105D5"/>
    <w:rsid w:val="61300818"/>
    <w:rsid w:val="613A51F3"/>
    <w:rsid w:val="6154631B"/>
    <w:rsid w:val="615A73D9"/>
    <w:rsid w:val="615D5386"/>
    <w:rsid w:val="61653B50"/>
    <w:rsid w:val="618E3791"/>
    <w:rsid w:val="619E1C26"/>
    <w:rsid w:val="61AB4343"/>
    <w:rsid w:val="61E364CD"/>
    <w:rsid w:val="61E41CD7"/>
    <w:rsid w:val="62126170"/>
    <w:rsid w:val="62481D89"/>
    <w:rsid w:val="629152E7"/>
    <w:rsid w:val="62A9373A"/>
    <w:rsid w:val="62AE06DA"/>
    <w:rsid w:val="62B615F9"/>
    <w:rsid w:val="62BD2580"/>
    <w:rsid w:val="62DF0A39"/>
    <w:rsid w:val="62F94040"/>
    <w:rsid w:val="62FB09B2"/>
    <w:rsid w:val="63131C91"/>
    <w:rsid w:val="633B2BF7"/>
    <w:rsid w:val="63495BC1"/>
    <w:rsid w:val="634D198D"/>
    <w:rsid w:val="636F2CBC"/>
    <w:rsid w:val="63A948B2"/>
    <w:rsid w:val="63D119EF"/>
    <w:rsid w:val="63E1229E"/>
    <w:rsid w:val="63EB0A27"/>
    <w:rsid w:val="63F456A7"/>
    <w:rsid w:val="63FF3FE1"/>
    <w:rsid w:val="64024C95"/>
    <w:rsid w:val="64047D3A"/>
    <w:rsid w:val="642C0088"/>
    <w:rsid w:val="643028DD"/>
    <w:rsid w:val="644D263E"/>
    <w:rsid w:val="64563013"/>
    <w:rsid w:val="646627A3"/>
    <w:rsid w:val="648B3FB8"/>
    <w:rsid w:val="64A50A7E"/>
    <w:rsid w:val="64AA2C5C"/>
    <w:rsid w:val="64DB7CA4"/>
    <w:rsid w:val="65531EB0"/>
    <w:rsid w:val="655E0305"/>
    <w:rsid w:val="657F3B1C"/>
    <w:rsid w:val="65815AE7"/>
    <w:rsid w:val="65A94EA3"/>
    <w:rsid w:val="65AE7F5E"/>
    <w:rsid w:val="65C71753"/>
    <w:rsid w:val="65D94C39"/>
    <w:rsid w:val="65E73470"/>
    <w:rsid w:val="65EA4144"/>
    <w:rsid w:val="65F23A2C"/>
    <w:rsid w:val="661974A2"/>
    <w:rsid w:val="661E3335"/>
    <w:rsid w:val="66613222"/>
    <w:rsid w:val="668C353D"/>
    <w:rsid w:val="66B15CF0"/>
    <w:rsid w:val="66BA32F2"/>
    <w:rsid w:val="66BB4F89"/>
    <w:rsid w:val="67277FC8"/>
    <w:rsid w:val="672E746B"/>
    <w:rsid w:val="6732696D"/>
    <w:rsid w:val="6737012A"/>
    <w:rsid w:val="67376377"/>
    <w:rsid w:val="67390BC9"/>
    <w:rsid w:val="67421633"/>
    <w:rsid w:val="6743582C"/>
    <w:rsid w:val="6784366C"/>
    <w:rsid w:val="6795787F"/>
    <w:rsid w:val="67990A04"/>
    <w:rsid w:val="67AD3ACE"/>
    <w:rsid w:val="67C322B3"/>
    <w:rsid w:val="68044744"/>
    <w:rsid w:val="680D3F81"/>
    <w:rsid w:val="683C4950"/>
    <w:rsid w:val="68614A7D"/>
    <w:rsid w:val="68687213"/>
    <w:rsid w:val="68692862"/>
    <w:rsid w:val="68757497"/>
    <w:rsid w:val="68A1024E"/>
    <w:rsid w:val="68A50EB9"/>
    <w:rsid w:val="68BF22E8"/>
    <w:rsid w:val="68F4037D"/>
    <w:rsid w:val="690B0673"/>
    <w:rsid w:val="6915104F"/>
    <w:rsid w:val="694C01BA"/>
    <w:rsid w:val="69652C31"/>
    <w:rsid w:val="69A62B40"/>
    <w:rsid w:val="69DB59C7"/>
    <w:rsid w:val="6A366774"/>
    <w:rsid w:val="6A4964A7"/>
    <w:rsid w:val="6A813D3D"/>
    <w:rsid w:val="6A8614A9"/>
    <w:rsid w:val="6A927E4E"/>
    <w:rsid w:val="6AB203B9"/>
    <w:rsid w:val="6ACD70D2"/>
    <w:rsid w:val="6AFE1987"/>
    <w:rsid w:val="6B044106"/>
    <w:rsid w:val="6B272C8C"/>
    <w:rsid w:val="6B282560"/>
    <w:rsid w:val="6B3B6738"/>
    <w:rsid w:val="6B6A2C59"/>
    <w:rsid w:val="6B9E68AB"/>
    <w:rsid w:val="6BD63796"/>
    <w:rsid w:val="6BEB1F0C"/>
    <w:rsid w:val="6C3A254B"/>
    <w:rsid w:val="6C4C45B1"/>
    <w:rsid w:val="6C6F3078"/>
    <w:rsid w:val="6CEA0C18"/>
    <w:rsid w:val="6D2154B9"/>
    <w:rsid w:val="6D2F5E28"/>
    <w:rsid w:val="6D535020"/>
    <w:rsid w:val="6D572D97"/>
    <w:rsid w:val="6D9E4636"/>
    <w:rsid w:val="6DAD2F42"/>
    <w:rsid w:val="6DBF7525"/>
    <w:rsid w:val="6DC9002B"/>
    <w:rsid w:val="6DDA2C45"/>
    <w:rsid w:val="6E2275DF"/>
    <w:rsid w:val="6E34358E"/>
    <w:rsid w:val="6E6801F4"/>
    <w:rsid w:val="6E6D2CA7"/>
    <w:rsid w:val="6E845616"/>
    <w:rsid w:val="6E8B48D5"/>
    <w:rsid w:val="6E906D9A"/>
    <w:rsid w:val="6EF2710D"/>
    <w:rsid w:val="6F296D40"/>
    <w:rsid w:val="6F4D1113"/>
    <w:rsid w:val="6F5E33EE"/>
    <w:rsid w:val="6F703975"/>
    <w:rsid w:val="6F75445D"/>
    <w:rsid w:val="6F8D398D"/>
    <w:rsid w:val="6FB1036A"/>
    <w:rsid w:val="6FC62348"/>
    <w:rsid w:val="6FD9207B"/>
    <w:rsid w:val="703060B6"/>
    <w:rsid w:val="70380032"/>
    <w:rsid w:val="70475BC3"/>
    <w:rsid w:val="7072760A"/>
    <w:rsid w:val="70875F7B"/>
    <w:rsid w:val="70905144"/>
    <w:rsid w:val="70AB3A18"/>
    <w:rsid w:val="70CE3383"/>
    <w:rsid w:val="70DE0686"/>
    <w:rsid w:val="70FA674D"/>
    <w:rsid w:val="70FF1CFD"/>
    <w:rsid w:val="711C2B67"/>
    <w:rsid w:val="714E0847"/>
    <w:rsid w:val="71587470"/>
    <w:rsid w:val="7161172B"/>
    <w:rsid w:val="71A60683"/>
    <w:rsid w:val="71C34D91"/>
    <w:rsid w:val="71D23226"/>
    <w:rsid w:val="71EB43C2"/>
    <w:rsid w:val="71FC02A3"/>
    <w:rsid w:val="7203104F"/>
    <w:rsid w:val="721455EC"/>
    <w:rsid w:val="721B349D"/>
    <w:rsid w:val="72331F17"/>
    <w:rsid w:val="72395053"/>
    <w:rsid w:val="72564B99"/>
    <w:rsid w:val="72981126"/>
    <w:rsid w:val="729A01E8"/>
    <w:rsid w:val="729C0690"/>
    <w:rsid w:val="72A2709C"/>
    <w:rsid w:val="72AA5006"/>
    <w:rsid w:val="72EC0317"/>
    <w:rsid w:val="73102258"/>
    <w:rsid w:val="731225C9"/>
    <w:rsid w:val="73131D48"/>
    <w:rsid w:val="73696D7E"/>
    <w:rsid w:val="737A4ACD"/>
    <w:rsid w:val="73960D68"/>
    <w:rsid w:val="73A37F9F"/>
    <w:rsid w:val="73BC7C06"/>
    <w:rsid w:val="73DA5442"/>
    <w:rsid w:val="73F12089"/>
    <w:rsid w:val="74263AB4"/>
    <w:rsid w:val="743B50B2"/>
    <w:rsid w:val="744A4973"/>
    <w:rsid w:val="748E4179"/>
    <w:rsid w:val="74B93115"/>
    <w:rsid w:val="74D25723"/>
    <w:rsid w:val="74E47769"/>
    <w:rsid w:val="75364AF2"/>
    <w:rsid w:val="75446933"/>
    <w:rsid w:val="756A1CE9"/>
    <w:rsid w:val="756C2A27"/>
    <w:rsid w:val="757734C3"/>
    <w:rsid w:val="757F40CB"/>
    <w:rsid w:val="758C0836"/>
    <w:rsid w:val="75976C60"/>
    <w:rsid w:val="75BB5EC9"/>
    <w:rsid w:val="75E83EC4"/>
    <w:rsid w:val="76037E52"/>
    <w:rsid w:val="76103FD7"/>
    <w:rsid w:val="76240073"/>
    <w:rsid w:val="763B020A"/>
    <w:rsid w:val="76983B6E"/>
    <w:rsid w:val="769C1001"/>
    <w:rsid w:val="76A45A74"/>
    <w:rsid w:val="76E47C83"/>
    <w:rsid w:val="76ED7B7B"/>
    <w:rsid w:val="76F22B8F"/>
    <w:rsid w:val="76F34F62"/>
    <w:rsid w:val="770245AD"/>
    <w:rsid w:val="77277B70"/>
    <w:rsid w:val="772C162A"/>
    <w:rsid w:val="77405AF4"/>
    <w:rsid w:val="77423D24"/>
    <w:rsid w:val="774E33D3"/>
    <w:rsid w:val="775F6338"/>
    <w:rsid w:val="77985D28"/>
    <w:rsid w:val="780A1873"/>
    <w:rsid w:val="780E3CB1"/>
    <w:rsid w:val="7814010B"/>
    <w:rsid w:val="784A2BEC"/>
    <w:rsid w:val="784E6D62"/>
    <w:rsid w:val="786162AC"/>
    <w:rsid w:val="7873559D"/>
    <w:rsid w:val="7879089F"/>
    <w:rsid w:val="78A0407E"/>
    <w:rsid w:val="78BB4A91"/>
    <w:rsid w:val="78C338C8"/>
    <w:rsid w:val="78C55B59"/>
    <w:rsid w:val="78DA6270"/>
    <w:rsid w:val="78E81581"/>
    <w:rsid w:val="79206F6D"/>
    <w:rsid w:val="792C25AA"/>
    <w:rsid w:val="792C7B9F"/>
    <w:rsid w:val="794042C2"/>
    <w:rsid w:val="79490272"/>
    <w:rsid w:val="7986637C"/>
    <w:rsid w:val="79927E6B"/>
    <w:rsid w:val="79F23BF1"/>
    <w:rsid w:val="79F3642F"/>
    <w:rsid w:val="7A2C4C47"/>
    <w:rsid w:val="7A3C57C0"/>
    <w:rsid w:val="7A44187E"/>
    <w:rsid w:val="7A6A309A"/>
    <w:rsid w:val="7A9D7D6A"/>
    <w:rsid w:val="7AA30601"/>
    <w:rsid w:val="7AD9232E"/>
    <w:rsid w:val="7B2F0C84"/>
    <w:rsid w:val="7B346CFF"/>
    <w:rsid w:val="7B38234C"/>
    <w:rsid w:val="7B3D051E"/>
    <w:rsid w:val="7B44645E"/>
    <w:rsid w:val="7B4808F7"/>
    <w:rsid w:val="7B5706E8"/>
    <w:rsid w:val="7BB1475F"/>
    <w:rsid w:val="7BD83B2F"/>
    <w:rsid w:val="7BDE5B38"/>
    <w:rsid w:val="7BDE678D"/>
    <w:rsid w:val="7BDF6CFA"/>
    <w:rsid w:val="7BEA6B99"/>
    <w:rsid w:val="7BEF1535"/>
    <w:rsid w:val="7BF22E42"/>
    <w:rsid w:val="7C1D16CB"/>
    <w:rsid w:val="7C404E67"/>
    <w:rsid w:val="7C472B99"/>
    <w:rsid w:val="7C9F63FA"/>
    <w:rsid w:val="7CD87A62"/>
    <w:rsid w:val="7D1172F8"/>
    <w:rsid w:val="7D871368"/>
    <w:rsid w:val="7DB83C18"/>
    <w:rsid w:val="7DDF2F52"/>
    <w:rsid w:val="7DF851BD"/>
    <w:rsid w:val="7E386B07"/>
    <w:rsid w:val="7E61605D"/>
    <w:rsid w:val="7E9006F1"/>
    <w:rsid w:val="7E9640E7"/>
    <w:rsid w:val="7EAD3051"/>
    <w:rsid w:val="7ECA421B"/>
    <w:rsid w:val="7ED07CCC"/>
    <w:rsid w:val="7F5354A9"/>
    <w:rsid w:val="7F9D30C5"/>
    <w:rsid w:val="7FA830F1"/>
    <w:rsid w:val="7FB82750"/>
    <w:rsid w:val="7FD20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qFormat="1" w:unhideWhenUsed="0" w:uiPriority="99" w:semiHidden="0" w:name="index 9"/>
    <w:lsdException w:qFormat="1" w:uiPriority="0" w:name="toc 1"/>
    <w:lsdException w:qFormat="1" w:uiPriority="0" w:name="toc 2"/>
    <w:lsdException w:qFormat="1"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qFormat="1" w:unhideWhenUsed="0" w:uiPriority="0" w:semiHidden="0" w:name="table of figures"/>
    <w:lsdException w:uiPriority="0" w:name="envelope address"/>
    <w:lsdException w:qFormat="1" w:unhideWhenUsed="0" w:uiPriority="0" w:semiHidden="0" w:name="envelope return"/>
    <w:lsdException w:uiPriority="0" w:name="footnote reference"/>
    <w:lsdException w:qFormat="1"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99" w:semiHidden="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numPr>
        <w:ilvl w:val="0"/>
        <w:numId w:val="1"/>
      </w:numPr>
      <w:jc w:val="center"/>
      <w:outlineLvl w:val="0"/>
    </w:pPr>
    <w:rPr>
      <w:b/>
      <w:kern w:val="44"/>
      <w:sz w:val="44"/>
    </w:rPr>
  </w:style>
  <w:style w:type="paragraph" w:styleId="3">
    <w:name w:val="heading 2"/>
    <w:basedOn w:val="1"/>
    <w:next w:val="1"/>
    <w:unhideWhenUsed/>
    <w:qFormat/>
    <w:uiPriority w:val="0"/>
    <w:pPr>
      <w:keepNext/>
      <w:keepLines/>
      <w:numPr>
        <w:ilvl w:val="1"/>
        <w:numId w:val="1"/>
      </w:numPr>
      <w:spacing w:line="413" w:lineRule="auto"/>
      <w:outlineLvl w:val="1"/>
    </w:pPr>
    <w:rPr>
      <w:rFonts w:ascii="Arial" w:hAnsi="Arial" w:eastAsia="黑体"/>
      <w:sz w:val="32"/>
    </w:rPr>
  </w:style>
  <w:style w:type="paragraph" w:styleId="4">
    <w:name w:val="heading 3"/>
    <w:basedOn w:val="1"/>
    <w:next w:val="1"/>
    <w:qFormat/>
    <w:uiPriority w:val="0"/>
    <w:pPr>
      <w:keepNext/>
      <w:keepLines/>
      <w:numPr>
        <w:ilvl w:val="2"/>
        <w:numId w:val="1"/>
      </w:numPr>
      <w:spacing w:line="360" w:lineRule="auto"/>
      <w:jc w:val="left"/>
      <w:outlineLvl w:val="2"/>
    </w:pPr>
    <w:rPr>
      <w:b/>
      <w:bCs/>
      <w:kern w:val="0"/>
      <w:sz w:val="30"/>
      <w:szCs w:val="32"/>
    </w:rPr>
  </w:style>
  <w:style w:type="paragraph" w:styleId="5">
    <w:name w:val="heading 4"/>
    <w:basedOn w:val="1"/>
    <w:next w:val="1"/>
    <w:unhideWhenUsed/>
    <w:qFormat/>
    <w:uiPriority w:val="0"/>
    <w:pPr>
      <w:keepNext/>
      <w:keepLines/>
      <w:numPr>
        <w:ilvl w:val="3"/>
        <w:numId w:val="1"/>
      </w:numPr>
      <w:spacing w:line="372" w:lineRule="auto"/>
      <w:outlineLvl w:val="3"/>
    </w:pPr>
    <w:rPr>
      <w:rFonts w:ascii="Arial" w:hAnsi="Arial" w:eastAsia="黑体"/>
      <w:b/>
      <w:sz w:val="28"/>
    </w:rPr>
  </w:style>
  <w:style w:type="paragraph" w:styleId="6">
    <w:name w:val="heading 5"/>
    <w:basedOn w:val="1"/>
    <w:next w:val="1"/>
    <w:unhideWhenUsed/>
    <w:qFormat/>
    <w:uiPriority w:val="0"/>
    <w:pPr>
      <w:keepNext/>
      <w:keepLines/>
      <w:numPr>
        <w:ilvl w:val="4"/>
        <w:numId w:val="1"/>
      </w:numPr>
      <w:spacing w:line="372" w:lineRule="auto"/>
      <w:outlineLvl w:val="4"/>
    </w:pPr>
    <w:rPr>
      <w:b/>
      <w:sz w:val="28"/>
    </w:rPr>
  </w:style>
  <w:style w:type="paragraph" w:styleId="7">
    <w:name w:val="heading 6"/>
    <w:basedOn w:val="1"/>
    <w:next w:val="1"/>
    <w:unhideWhenUsed/>
    <w:qFormat/>
    <w:uiPriority w:val="0"/>
    <w:pPr>
      <w:keepNext/>
      <w:keepLines/>
      <w:numPr>
        <w:ilvl w:val="5"/>
        <w:numId w:val="1"/>
      </w:numPr>
      <w:spacing w:line="317" w:lineRule="auto"/>
      <w:outlineLvl w:val="5"/>
    </w:pPr>
    <w:rPr>
      <w:rFonts w:ascii="Arial" w:hAnsi="Arial" w:eastAsia="黑体"/>
      <w:b/>
      <w:sz w:val="24"/>
    </w:rPr>
  </w:style>
  <w:style w:type="paragraph" w:styleId="8">
    <w:name w:val="heading 7"/>
    <w:basedOn w:val="1"/>
    <w:next w:val="1"/>
    <w:unhideWhenUsed/>
    <w:qFormat/>
    <w:uiPriority w:val="0"/>
    <w:pPr>
      <w:keepNext/>
      <w:keepLines/>
      <w:numPr>
        <w:ilvl w:val="6"/>
        <w:numId w:val="1"/>
      </w:numPr>
      <w:spacing w:line="317" w:lineRule="auto"/>
      <w:outlineLvl w:val="6"/>
    </w:pPr>
    <w:rPr>
      <w:b/>
      <w:sz w:val="24"/>
    </w:rPr>
  </w:style>
  <w:style w:type="paragraph" w:styleId="9">
    <w:name w:val="heading 8"/>
    <w:basedOn w:val="1"/>
    <w:next w:val="1"/>
    <w:unhideWhenUsed/>
    <w:qFormat/>
    <w:uiPriority w:val="0"/>
    <w:pPr>
      <w:keepNext/>
      <w:keepLines/>
      <w:numPr>
        <w:ilvl w:val="7"/>
        <w:numId w:val="1"/>
      </w:numPr>
      <w:spacing w:line="317" w:lineRule="auto"/>
      <w:outlineLvl w:val="7"/>
    </w:pPr>
    <w:rPr>
      <w:rFonts w:ascii="Arial" w:hAnsi="Arial" w:eastAsia="黑体"/>
      <w:sz w:val="24"/>
    </w:rPr>
  </w:style>
  <w:style w:type="paragraph" w:styleId="10">
    <w:name w:val="heading 9"/>
    <w:basedOn w:val="1"/>
    <w:next w:val="1"/>
    <w:unhideWhenUsed/>
    <w:qFormat/>
    <w:uiPriority w:val="0"/>
    <w:pPr>
      <w:keepNext/>
      <w:keepLines/>
      <w:numPr>
        <w:ilvl w:val="8"/>
        <w:numId w:val="1"/>
      </w:numPr>
      <w:spacing w:line="317" w:lineRule="auto"/>
      <w:outlineLvl w:val="8"/>
    </w:pPr>
    <w:rPr>
      <w:rFonts w:ascii="Arial" w:hAnsi="Arial" w:eastAsia="黑体"/>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59"/>
    <w:qFormat/>
    <w:uiPriority w:val="0"/>
    <w:rPr>
      <w:rFonts w:ascii="宋体"/>
      <w:sz w:val="18"/>
      <w:szCs w:val="18"/>
    </w:rPr>
  </w:style>
  <w:style w:type="paragraph" w:styleId="12">
    <w:name w:val="annotation text"/>
    <w:basedOn w:val="1"/>
    <w:link w:val="60"/>
    <w:qFormat/>
    <w:uiPriority w:val="0"/>
    <w:pPr>
      <w:jc w:val="left"/>
    </w:pPr>
  </w:style>
  <w:style w:type="paragraph" w:styleId="13">
    <w:name w:val="Body Text"/>
    <w:basedOn w:val="1"/>
    <w:next w:val="14"/>
    <w:qFormat/>
    <w:uiPriority w:val="0"/>
    <w:rPr>
      <w:sz w:val="32"/>
    </w:rPr>
  </w:style>
  <w:style w:type="paragraph" w:customStyle="1" w:styleId="14">
    <w:name w:val="正文文本首行缩进1"/>
    <w:basedOn w:val="13"/>
    <w:qFormat/>
    <w:uiPriority w:val="0"/>
    <w:pPr>
      <w:adjustRightInd w:val="0"/>
      <w:ind w:firstLine="420"/>
      <w:jc w:val="left"/>
      <w:textAlignment w:val="baseline"/>
    </w:pPr>
    <w:rPr>
      <w:kern w:val="0"/>
    </w:rPr>
  </w:style>
  <w:style w:type="paragraph" w:styleId="15">
    <w:name w:val="Body Text Indent"/>
    <w:basedOn w:val="1"/>
    <w:qFormat/>
    <w:uiPriority w:val="0"/>
    <w:pPr>
      <w:ind w:left="480"/>
    </w:pPr>
    <w:rPr>
      <w:spacing w:val="4"/>
      <w:sz w:val="28"/>
    </w:rPr>
  </w:style>
  <w:style w:type="paragraph" w:styleId="16">
    <w:name w:val="toc 3"/>
    <w:basedOn w:val="1"/>
    <w:next w:val="1"/>
    <w:semiHidden/>
    <w:unhideWhenUsed/>
    <w:qFormat/>
    <w:uiPriority w:val="0"/>
    <w:pPr>
      <w:ind w:left="840" w:leftChars="400"/>
    </w:pPr>
  </w:style>
  <w:style w:type="paragraph" w:styleId="17">
    <w:name w:val="Plain Text"/>
    <w:basedOn w:val="1"/>
    <w:next w:val="18"/>
    <w:qFormat/>
    <w:uiPriority w:val="0"/>
    <w:pPr>
      <w:spacing w:line="500" w:lineRule="exact"/>
    </w:pPr>
    <w:rPr>
      <w:rFonts w:ascii="宋体" w:hAnsi="Courier New"/>
      <w:kern w:val="0"/>
    </w:rPr>
  </w:style>
  <w:style w:type="paragraph" w:styleId="18">
    <w:name w:val="index 9"/>
    <w:basedOn w:val="1"/>
    <w:next w:val="1"/>
    <w:qFormat/>
    <w:uiPriority w:val="99"/>
    <w:pPr>
      <w:ind w:left="3360"/>
    </w:pPr>
    <w:rPr>
      <w:rFonts w:cs="等线"/>
      <w:szCs w:val="21"/>
    </w:rPr>
  </w:style>
  <w:style w:type="paragraph" w:styleId="19">
    <w:name w:val="Date"/>
    <w:basedOn w:val="1"/>
    <w:next w:val="1"/>
    <w:link w:val="67"/>
    <w:qFormat/>
    <w:uiPriority w:val="0"/>
    <w:pPr>
      <w:ind w:left="100" w:leftChars="2500"/>
    </w:pPr>
    <w:rPr>
      <w:szCs w:val="24"/>
    </w:rPr>
  </w:style>
  <w:style w:type="paragraph" w:styleId="20">
    <w:name w:val="Balloon Text"/>
    <w:basedOn w:val="1"/>
    <w:link w:val="58"/>
    <w:qFormat/>
    <w:uiPriority w:val="0"/>
    <w:rPr>
      <w:sz w:val="18"/>
      <w:szCs w:val="18"/>
    </w:rPr>
  </w:style>
  <w:style w:type="paragraph" w:styleId="21">
    <w:name w:val="footer"/>
    <w:basedOn w:val="1"/>
    <w:link w:val="63"/>
    <w:qFormat/>
    <w:uiPriority w:val="0"/>
    <w:pPr>
      <w:tabs>
        <w:tab w:val="center" w:pos="4153"/>
        <w:tab w:val="right" w:pos="8306"/>
      </w:tabs>
      <w:snapToGrid w:val="0"/>
      <w:jc w:val="left"/>
    </w:pPr>
    <w:rPr>
      <w:sz w:val="18"/>
      <w:szCs w:val="18"/>
    </w:rPr>
  </w:style>
  <w:style w:type="paragraph" w:styleId="22">
    <w:name w:val="envelope return"/>
    <w:basedOn w:val="1"/>
    <w:qFormat/>
    <w:uiPriority w:val="0"/>
    <w:pPr>
      <w:snapToGrid w:val="0"/>
    </w:pPr>
    <w:rPr>
      <w:rFonts w:ascii="Arial" w:hAnsi="Arial"/>
    </w:rPr>
  </w:style>
  <w:style w:type="paragraph" w:styleId="23">
    <w:name w:val="header"/>
    <w:basedOn w:val="1"/>
    <w:link w:val="64"/>
    <w:qFormat/>
    <w:uiPriority w:val="99"/>
    <w:pPr>
      <w:pBdr>
        <w:bottom w:val="single" w:color="auto" w:sz="6" w:space="1"/>
      </w:pBdr>
      <w:tabs>
        <w:tab w:val="center" w:pos="4153"/>
        <w:tab w:val="right" w:pos="8306"/>
      </w:tabs>
      <w:snapToGrid w:val="0"/>
      <w:spacing w:line="500" w:lineRule="exact"/>
      <w:jc w:val="center"/>
    </w:pPr>
    <w:rPr>
      <w:kern w:val="0"/>
      <w:sz w:val="18"/>
      <w:szCs w:val="18"/>
    </w:rPr>
  </w:style>
  <w:style w:type="paragraph" w:styleId="24">
    <w:name w:val="toc 1"/>
    <w:basedOn w:val="1"/>
    <w:next w:val="1"/>
    <w:semiHidden/>
    <w:unhideWhenUsed/>
    <w:qFormat/>
    <w:uiPriority w:val="0"/>
  </w:style>
  <w:style w:type="paragraph" w:styleId="25">
    <w:name w:val="table of figures"/>
    <w:basedOn w:val="1"/>
    <w:next w:val="1"/>
    <w:qFormat/>
    <w:uiPriority w:val="0"/>
  </w:style>
  <w:style w:type="paragraph" w:styleId="26">
    <w:name w:val="toc 2"/>
    <w:basedOn w:val="1"/>
    <w:next w:val="1"/>
    <w:semiHidden/>
    <w:unhideWhenUsed/>
    <w:qFormat/>
    <w:uiPriority w:val="0"/>
    <w:pPr>
      <w:ind w:left="420" w:leftChars="200"/>
    </w:pPr>
  </w:style>
  <w:style w:type="paragraph" w:styleId="27">
    <w:name w:val="Body Text 2"/>
    <w:basedOn w:val="1"/>
    <w:qFormat/>
    <w:uiPriority w:val="99"/>
    <w:pPr>
      <w:spacing w:line="480" w:lineRule="auto"/>
    </w:pPr>
  </w:style>
  <w:style w:type="paragraph" w:styleId="28">
    <w:name w:val="Normal (Web)"/>
    <w:basedOn w:val="1"/>
    <w:unhideWhenUsed/>
    <w:qFormat/>
    <w:uiPriority w:val="99"/>
    <w:pPr>
      <w:widowControl/>
      <w:spacing w:before="100" w:beforeAutospacing="1" w:after="100" w:afterAutospacing="1" w:line="320" w:lineRule="atLeast"/>
      <w:jc w:val="left"/>
    </w:pPr>
    <w:rPr>
      <w:rFonts w:ascii="宋体" w:hAnsi="宋体" w:cs="宋体"/>
      <w:kern w:val="0"/>
      <w:sz w:val="18"/>
      <w:szCs w:val="18"/>
    </w:rPr>
  </w:style>
  <w:style w:type="paragraph" w:styleId="29">
    <w:name w:val="Title"/>
    <w:basedOn w:val="1"/>
    <w:next w:val="1"/>
    <w:qFormat/>
    <w:uiPriority w:val="0"/>
    <w:pPr>
      <w:spacing w:before="240" w:after="60"/>
      <w:jc w:val="center"/>
      <w:outlineLvl w:val="0"/>
    </w:pPr>
    <w:rPr>
      <w:rFonts w:ascii="Cambria" w:hAnsi="Cambria"/>
      <w:b/>
      <w:sz w:val="32"/>
    </w:rPr>
  </w:style>
  <w:style w:type="paragraph" w:styleId="30">
    <w:name w:val="annotation subject"/>
    <w:basedOn w:val="12"/>
    <w:next w:val="12"/>
    <w:link w:val="62"/>
    <w:unhideWhenUsed/>
    <w:qFormat/>
    <w:uiPriority w:val="0"/>
    <w:rPr>
      <w:b/>
      <w:bCs/>
    </w:rPr>
  </w:style>
  <w:style w:type="paragraph" w:styleId="31">
    <w:name w:val="Body Text First Indent"/>
    <w:basedOn w:val="13"/>
    <w:qFormat/>
    <w:uiPriority w:val="0"/>
    <w:pPr>
      <w:ind w:firstLine="100" w:firstLineChars="100"/>
    </w:pPr>
  </w:style>
  <w:style w:type="paragraph" w:styleId="32">
    <w:name w:val="Body Text First Indent 2"/>
    <w:basedOn w:val="15"/>
    <w:next w:val="31"/>
    <w:qFormat/>
    <w:uiPriority w:val="0"/>
    <w:pPr>
      <w:spacing w:after="120"/>
      <w:ind w:left="420" w:firstLine="420"/>
    </w:pPr>
  </w:style>
  <w:style w:type="table" w:styleId="34">
    <w:name w:val="Table Grid"/>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0"/>
    <w:rPr>
      <w:b/>
    </w:rPr>
  </w:style>
  <w:style w:type="character" w:styleId="37">
    <w:name w:val="page number"/>
    <w:basedOn w:val="35"/>
    <w:qFormat/>
    <w:uiPriority w:val="0"/>
  </w:style>
  <w:style w:type="character" w:styleId="38">
    <w:name w:val="FollowedHyperlink"/>
    <w:basedOn w:val="35"/>
    <w:qFormat/>
    <w:uiPriority w:val="0"/>
    <w:rPr>
      <w:color w:val="338DE6"/>
      <w:u w:val="none"/>
    </w:rPr>
  </w:style>
  <w:style w:type="character" w:styleId="39">
    <w:name w:val="Emphasis"/>
    <w:basedOn w:val="35"/>
    <w:qFormat/>
    <w:uiPriority w:val="0"/>
    <w:rPr>
      <w:u w:val="single"/>
    </w:rPr>
  </w:style>
  <w:style w:type="character" w:styleId="40">
    <w:name w:val="HTML Definition"/>
    <w:basedOn w:val="35"/>
    <w:qFormat/>
    <w:uiPriority w:val="0"/>
  </w:style>
  <w:style w:type="character" w:styleId="41">
    <w:name w:val="HTML Variable"/>
    <w:basedOn w:val="35"/>
    <w:qFormat/>
    <w:uiPriority w:val="0"/>
  </w:style>
  <w:style w:type="character" w:styleId="42">
    <w:name w:val="Hyperlink"/>
    <w:basedOn w:val="35"/>
    <w:qFormat/>
    <w:uiPriority w:val="0"/>
    <w:rPr>
      <w:color w:val="338DE6"/>
      <w:u w:val="none"/>
    </w:rPr>
  </w:style>
  <w:style w:type="character" w:styleId="43">
    <w:name w:val="HTML Code"/>
    <w:basedOn w:val="35"/>
    <w:qFormat/>
    <w:uiPriority w:val="0"/>
    <w:rPr>
      <w:rFonts w:hint="default" w:ascii="serif" w:hAnsi="serif" w:eastAsia="serif" w:cs="serif"/>
      <w:sz w:val="21"/>
      <w:szCs w:val="21"/>
    </w:rPr>
  </w:style>
  <w:style w:type="character" w:styleId="44">
    <w:name w:val="annotation reference"/>
    <w:basedOn w:val="35"/>
    <w:unhideWhenUsed/>
    <w:qFormat/>
    <w:uiPriority w:val="99"/>
    <w:rPr>
      <w:sz w:val="21"/>
      <w:szCs w:val="21"/>
    </w:rPr>
  </w:style>
  <w:style w:type="character" w:styleId="45">
    <w:name w:val="HTML Cite"/>
    <w:basedOn w:val="35"/>
    <w:qFormat/>
    <w:uiPriority w:val="0"/>
  </w:style>
  <w:style w:type="character" w:styleId="46">
    <w:name w:val="HTML Keyboard"/>
    <w:basedOn w:val="35"/>
    <w:qFormat/>
    <w:uiPriority w:val="0"/>
    <w:rPr>
      <w:rFonts w:hint="default" w:ascii="serif" w:hAnsi="serif" w:eastAsia="serif" w:cs="serif"/>
      <w:sz w:val="21"/>
      <w:szCs w:val="21"/>
    </w:rPr>
  </w:style>
  <w:style w:type="character" w:styleId="47">
    <w:name w:val="HTML Sample"/>
    <w:basedOn w:val="35"/>
    <w:qFormat/>
    <w:uiPriority w:val="0"/>
    <w:rPr>
      <w:rFonts w:ascii="serif" w:hAnsi="serif" w:eastAsia="serif" w:cs="serif"/>
      <w:sz w:val="21"/>
      <w:szCs w:val="21"/>
    </w:rPr>
  </w:style>
  <w:style w:type="paragraph" w:customStyle="1" w:styleId="48">
    <w:name w:val="无间隔1"/>
    <w:basedOn w:val="1"/>
    <w:qFormat/>
    <w:uiPriority w:val="1"/>
    <w:pPr>
      <w:spacing w:line="400" w:lineRule="exact"/>
    </w:pPr>
    <w:rPr>
      <w:sz w:val="24"/>
    </w:rPr>
  </w:style>
  <w:style w:type="paragraph" w:customStyle="1" w:styleId="49">
    <w:name w:val="BodyText1I"/>
    <w:basedOn w:val="50"/>
    <w:qFormat/>
    <w:uiPriority w:val="99"/>
    <w:pPr>
      <w:ind w:firstLine="420" w:firstLineChars="100"/>
    </w:pPr>
  </w:style>
  <w:style w:type="paragraph" w:customStyle="1" w:styleId="50">
    <w:name w:val="BodyText"/>
    <w:basedOn w:val="1"/>
    <w:qFormat/>
    <w:uiPriority w:val="99"/>
    <w:pPr>
      <w:spacing w:after="120"/>
    </w:pPr>
  </w:style>
  <w:style w:type="paragraph" w:customStyle="1" w:styleId="51">
    <w:name w:val="Default"/>
    <w:basedOn w:val="17"/>
    <w:next w:val="1"/>
    <w:link w:val="65"/>
    <w:qFormat/>
    <w:uiPriority w:val="0"/>
    <w:pPr>
      <w:autoSpaceDE w:val="0"/>
      <w:autoSpaceDN w:val="0"/>
      <w:adjustRightInd w:val="0"/>
    </w:pPr>
    <w:rPr>
      <w:rFonts w:ascii="......." w:hAnsi="Calibri" w:eastAsia="......." w:cs="......."/>
      <w:color w:val="000000"/>
      <w:sz w:val="24"/>
      <w:szCs w:val="24"/>
    </w:rPr>
  </w:style>
  <w:style w:type="paragraph" w:customStyle="1" w:styleId="52">
    <w:name w:val="样式 正文首行缩进 2 + Arial"/>
    <w:basedOn w:val="1"/>
    <w:next w:val="1"/>
    <w:qFormat/>
    <w:uiPriority w:val="0"/>
    <w:pPr>
      <w:spacing w:after="120" w:line="320" w:lineRule="atLeast"/>
      <w:ind w:firstLine="200" w:firstLineChars="200"/>
    </w:pPr>
    <w:rPr>
      <w:rFonts w:ascii="Arial" w:hAnsi="Arial"/>
      <w:szCs w:val="21"/>
    </w:rPr>
  </w:style>
  <w:style w:type="paragraph" w:customStyle="1" w:styleId="53">
    <w:name w:val="style4"/>
    <w:basedOn w:val="1"/>
    <w:next w:val="54"/>
    <w:qFormat/>
    <w:uiPriority w:val="0"/>
    <w:pPr>
      <w:widowControl/>
      <w:spacing w:before="280" w:after="280"/>
    </w:pPr>
    <w:rPr>
      <w:sz w:val="18"/>
    </w:rPr>
  </w:style>
  <w:style w:type="paragraph" w:customStyle="1" w:styleId="54">
    <w:name w:val="2"/>
    <w:next w:val="1"/>
    <w:qFormat/>
    <w:uiPriority w:val="0"/>
    <w:pPr>
      <w:widowControl w:val="0"/>
      <w:jc w:val="both"/>
    </w:pPr>
    <w:rPr>
      <w:rFonts w:ascii="Times New Roman" w:hAnsi="Times New Roman" w:eastAsia="宋体" w:cs="Times New Roman"/>
      <w:sz w:val="21"/>
      <w:szCs w:val="22"/>
      <w:lang w:val="en-US" w:eastAsia="zh-CN" w:bidi="ar-SA"/>
    </w:rPr>
  </w:style>
  <w:style w:type="character" w:customStyle="1" w:styleId="55">
    <w:name w:val="fontborder"/>
    <w:basedOn w:val="35"/>
    <w:qFormat/>
    <w:uiPriority w:val="0"/>
    <w:rPr>
      <w:bdr w:val="single" w:color="000000" w:sz="4" w:space="0"/>
    </w:rPr>
  </w:style>
  <w:style w:type="character" w:customStyle="1" w:styleId="56">
    <w:name w:val="fontstrikethrough"/>
    <w:basedOn w:val="35"/>
    <w:qFormat/>
    <w:uiPriority w:val="0"/>
    <w:rPr>
      <w:strike/>
    </w:rPr>
  </w:style>
  <w:style w:type="paragraph" w:customStyle="1" w:styleId="57">
    <w:name w:val="样式正文"/>
    <w:qFormat/>
    <w:uiPriority w:val="0"/>
    <w:pPr>
      <w:tabs>
        <w:tab w:val="left" w:pos="1377"/>
      </w:tabs>
      <w:spacing w:line="300" w:lineRule="auto"/>
      <w:ind w:left="1377" w:leftChars="459"/>
    </w:pPr>
    <w:rPr>
      <w:rFonts w:ascii="仿宋_GB2312" w:hAnsi="宋体" w:eastAsia="仿宋_GB2312" w:cs="Times New Roman"/>
      <w:color w:val="000000"/>
      <w:sz w:val="24"/>
      <w:szCs w:val="24"/>
      <w:lang w:val="en-US" w:eastAsia="zh-CN" w:bidi="ar-SA"/>
    </w:rPr>
  </w:style>
  <w:style w:type="character" w:customStyle="1" w:styleId="58">
    <w:name w:val="批注框文本 字符"/>
    <w:basedOn w:val="35"/>
    <w:link w:val="20"/>
    <w:qFormat/>
    <w:uiPriority w:val="0"/>
    <w:rPr>
      <w:kern w:val="2"/>
      <w:sz w:val="18"/>
      <w:szCs w:val="18"/>
    </w:rPr>
  </w:style>
  <w:style w:type="character" w:customStyle="1" w:styleId="59">
    <w:name w:val="文档结构图 字符"/>
    <w:basedOn w:val="35"/>
    <w:link w:val="11"/>
    <w:qFormat/>
    <w:uiPriority w:val="0"/>
    <w:rPr>
      <w:rFonts w:ascii="宋体"/>
      <w:kern w:val="2"/>
      <w:sz w:val="18"/>
      <w:szCs w:val="18"/>
    </w:rPr>
  </w:style>
  <w:style w:type="character" w:customStyle="1" w:styleId="60">
    <w:name w:val="批注文字 字符"/>
    <w:basedOn w:val="35"/>
    <w:link w:val="12"/>
    <w:qFormat/>
    <w:uiPriority w:val="0"/>
    <w:rPr>
      <w:kern w:val="2"/>
      <w:sz w:val="21"/>
    </w:rPr>
  </w:style>
  <w:style w:type="paragraph" w:customStyle="1" w:styleId="61">
    <w:name w:val="列出段落1"/>
    <w:basedOn w:val="1"/>
    <w:qFormat/>
    <w:uiPriority w:val="99"/>
    <w:pPr>
      <w:ind w:firstLine="420" w:firstLineChars="200"/>
    </w:pPr>
  </w:style>
  <w:style w:type="character" w:customStyle="1" w:styleId="62">
    <w:name w:val="批注主题 字符"/>
    <w:basedOn w:val="60"/>
    <w:link w:val="30"/>
    <w:semiHidden/>
    <w:qFormat/>
    <w:uiPriority w:val="0"/>
    <w:rPr>
      <w:b/>
      <w:bCs/>
      <w:kern w:val="2"/>
      <w:sz w:val="21"/>
    </w:rPr>
  </w:style>
  <w:style w:type="character" w:customStyle="1" w:styleId="63">
    <w:name w:val="页脚 字符"/>
    <w:link w:val="21"/>
    <w:qFormat/>
    <w:uiPriority w:val="0"/>
    <w:rPr>
      <w:kern w:val="2"/>
      <w:sz w:val="18"/>
      <w:szCs w:val="18"/>
    </w:rPr>
  </w:style>
  <w:style w:type="character" w:customStyle="1" w:styleId="64">
    <w:name w:val="页眉 字符"/>
    <w:link w:val="23"/>
    <w:qFormat/>
    <w:uiPriority w:val="99"/>
    <w:rPr>
      <w:sz w:val="18"/>
      <w:szCs w:val="18"/>
    </w:rPr>
  </w:style>
  <w:style w:type="character" w:customStyle="1" w:styleId="65">
    <w:name w:val="Default Char Char"/>
    <w:link w:val="51"/>
    <w:qFormat/>
    <w:uiPriority w:val="0"/>
    <w:rPr>
      <w:rFonts w:ascii="......." w:hAnsi="Calibri" w:eastAsia="......." w:cs="......."/>
      <w:color w:val="000000"/>
      <w:sz w:val="24"/>
      <w:szCs w:val="24"/>
    </w:rPr>
  </w:style>
  <w:style w:type="paragraph" w:styleId="66">
    <w:name w:val="List Paragraph"/>
    <w:basedOn w:val="1"/>
    <w:unhideWhenUsed/>
    <w:qFormat/>
    <w:uiPriority w:val="99"/>
    <w:pPr>
      <w:ind w:firstLine="420" w:firstLineChars="200"/>
    </w:pPr>
  </w:style>
  <w:style w:type="character" w:customStyle="1" w:styleId="67">
    <w:name w:val="日期 字符"/>
    <w:basedOn w:val="35"/>
    <w:link w:val="19"/>
    <w:qFormat/>
    <w:uiPriority w:val="0"/>
    <w:rPr>
      <w:kern w:val="2"/>
      <w:sz w:val="21"/>
      <w:szCs w:val="24"/>
    </w:rPr>
  </w:style>
  <w:style w:type="paragraph" w:customStyle="1" w:styleId="68">
    <w:name w:val="Table Paragraph"/>
    <w:basedOn w:val="1"/>
    <w:qFormat/>
    <w:uiPriority w:val="1"/>
    <w:pPr>
      <w:autoSpaceDE w:val="0"/>
      <w:autoSpaceDN w:val="0"/>
      <w:jc w:val="left"/>
    </w:pPr>
    <w:rPr>
      <w:rFonts w:ascii="宋体" w:hAnsi="宋体" w:cs="宋体"/>
      <w:kern w:val="0"/>
      <w:sz w:val="22"/>
      <w:szCs w:val="22"/>
      <w:lang w:val="zh-CN" w:bidi="zh-CN"/>
    </w:rPr>
  </w:style>
  <w:style w:type="paragraph" w:customStyle="1" w:styleId="69">
    <w:name w:val="标题 31"/>
    <w:basedOn w:val="1"/>
    <w:qFormat/>
    <w:uiPriority w:val="1"/>
    <w:pPr>
      <w:autoSpaceDE w:val="0"/>
      <w:autoSpaceDN w:val="0"/>
      <w:spacing w:before="28"/>
      <w:jc w:val="center"/>
      <w:outlineLvl w:val="3"/>
    </w:pPr>
    <w:rPr>
      <w:rFonts w:ascii="宋体" w:hAnsi="宋体" w:cs="宋体"/>
      <w:b/>
      <w:bCs/>
      <w:kern w:val="0"/>
      <w:sz w:val="32"/>
      <w:szCs w:val="32"/>
      <w:lang w:val="zh-CN" w:bidi="zh-CN"/>
    </w:rPr>
  </w:style>
  <w:style w:type="paragraph" w:customStyle="1" w:styleId="70">
    <w:name w:val="标题 41"/>
    <w:basedOn w:val="1"/>
    <w:qFormat/>
    <w:uiPriority w:val="1"/>
    <w:pPr>
      <w:autoSpaceDE w:val="0"/>
      <w:autoSpaceDN w:val="0"/>
      <w:spacing w:before="54"/>
      <w:ind w:left="495"/>
      <w:jc w:val="left"/>
      <w:outlineLvl w:val="4"/>
    </w:pPr>
    <w:rPr>
      <w:rFonts w:ascii="宋体" w:hAnsi="宋体" w:cs="宋体"/>
      <w:kern w:val="0"/>
      <w:sz w:val="32"/>
      <w:szCs w:val="32"/>
      <w:lang w:val="zh-CN" w:bidi="zh-CN"/>
    </w:rPr>
  </w:style>
  <w:style w:type="paragraph" w:styleId="71">
    <w:name w:val="No Spacing"/>
    <w:qFormat/>
    <w:uiPriority w:val="0"/>
    <w:pPr>
      <w:widowControl w:val="0"/>
      <w:jc w:val="both"/>
    </w:pPr>
    <w:rPr>
      <w:rFonts w:ascii="Calibri" w:hAnsi="Calibri" w:eastAsia="宋体" w:cs="Times New Roman"/>
      <w:kern w:val="2"/>
      <w:sz w:val="21"/>
      <w:szCs w:val="22"/>
      <w:lang w:val="en-US" w:eastAsia="zh-CN" w:bidi="ar-SA"/>
    </w:rPr>
  </w:style>
  <w:style w:type="character" w:customStyle="1" w:styleId="72">
    <w:name w:val="font11"/>
    <w:basedOn w:val="35"/>
    <w:qFormat/>
    <w:uiPriority w:val="0"/>
    <w:rPr>
      <w:rFonts w:hint="eastAsia" w:ascii="宋体" w:hAnsi="宋体" w:eastAsia="宋体" w:cs="宋体"/>
      <w:color w:val="000000"/>
      <w:sz w:val="22"/>
      <w:szCs w:val="22"/>
      <w:u w:val="none"/>
    </w:rPr>
  </w:style>
  <w:style w:type="character" w:customStyle="1" w:styleId="73">
    <w:name w:val="font71"/>
    <w:basedOn w:val="35"/>
    <w:qFormat/>
    <w:uiPriority w:val="0"/>
    <w:rPr>
      <w:rFonts w:hint="eastAsia" w:ascii="微软雅黑" w:hAnsi="微软雅黑" w:eastAsia="微软雅黑" w:cs="微软雅黑"/>
      <w:color w:val="FF0000"/>
      <w:sz w:val="18"/>
      <w:szCs w:val="18"/>
      <w:u w:val="none"/>
    </w:rPr>
  </w:style>
  <w:style w:type="character" w:customStyle="1" w:styleId="74">
    <w:name w:val="font41"/>
    <w:basedOn w:val="35"/>
    <w:qFormat/>
    <w:uiPriority w:val="0"/>
    <w:rPr>
      <w:rFonts w:hint="eastAsia" w:ascii="微软雅黑" w:hAnsi="微软雅黑" w:eastAsia="微软雅黑" w:cs="微软雅黑"/>
      <w:color w:val="000000"/>
      <w:sz w:val="18"/>
      <w:szCs w:val="18"/>
      <w:u w:val="none"/>
    </w:rPr>
  </w:style>
  <w:style w:type="character" w:customStyle="1" w:styleId="75">
    <w:name w:val="font21"/>
    <w:basedOn w:val="35"/>
    <w:qFormat/>
    <w:uiPriority w:val="0"/>
    <w:rPr>
      <w:rFonts w:hint="eastAsia" w:ascii="微软雅黑" w:hAnsi="微软雅黑" w:eastAsia="微软雅黑" w:cs="微软雅黑"/>
      <w:color w:val="000000"/>
      <w:sz w:val="18"/>
      <w:szCs w:val="18"/>
      <w:u w:val="none"/>
    </w:rPr>
  </w:style>
  <w:style w:type="character" w:customStyle="1" w:styleId="76">
    <w:name w:val="font01"/>
    <w:basedOn w:val="35"/>
    <w:qFormat/>
    <w:uiPriority w:val="0"/>
    <w:rPr>
      <w:rFonts w:hint="eastAsia" w:ascii="宋体" w:hAnsi="宋体" w:eastAsia="宋体" w:cs="宋体"/>
      <w:color w:val="000000"/>
      <w:sz w:val="22"/>
      <w:szCs w:val="22"/>
      <w:u w:val="none"/>
    </w:rPr>
  </w:style>
  <w:style w:type="character" w:customStyle="1" w:styleId="77">
    <w:name w:val="font112"/>
    <w:basedOn w:val="35"/>
    <w:qFormat/>
    <w:uiPriority w:val="0"/>
    <w:rPr>
      <w:rFonts w:hint="eastAsia" w:ascii="宋体" w:hAnsi="宋体" w:eastAsia="宋体" w:cs="宋体"/>
      <w:color w:val="FF0000"/>
      <w:sz w:val="20"/>
      <w:szCs w:val="20"/>
      <w:u w:val="none"/>
    </w:rPr>
  </w:style>
  <w:style w:type="character" w:customStyle="1" w:styleId="78">
    <w:name w:val="font121"/>
    <w:basedOn w:val="35"/>
    <w:qFormat/>
    <w:uiPriority w:val="0"/>
    <w:rPr>
      <w:rFonts w:hint="eastAsia" w:ascii="宋体" w:hAnsi="宋体" w:eastAsia="宋体" w:cs="宋体"/>
      <w:color w:val="000000"/>
      <w:sz w:val="20"/>
      <w:szCs w:val="20"/>
      <w:u w:val="none"/>
    </w:rPr>
  </w:style>
  <w:style w:type="character" w:customStyle="1" w:styleId="79">
    <w:name w:val="font81"/>
    <w:basedOn w:val="35"/>
    <w:qFormat/>
    <w:uiPriority w:val="0"/>
    <w:rPr>
      <w:rFonts w:hint="eastAsia" w:ascii="微软雅黑" w:hAnsi="微软雅黑" w:eastAsia="微软雅黑" w:cs="微软雅黑"/>
      <w:color w:val="000000"/>
      <w:sz w:val="18"/>
      <w:szCs w:val="18"/>
      <w:u w:val="none"/>
    </w:rPr>
  </w:style>
  <w:style w:type="character" w:customStyle="1" w:styleId="80">
    <w:name w:val="font51"/>
    <w:basedOn w:val="35"/>
    <w:qFormat/>
    <w:uiPriority w:val="0"/>
    <w:rPr>
      <w:rFonts w:hint="eastAsia" w:ascii="微软雅黑" w:hAnsi="微软雅黑" w:eastAsia="微软雅黑" w:cs="微软雅黑"/>
      <w:color w:val="000000"/>
      <w:sz w:val="18"/>
      <w:szCs w:val="18"/>
      <w:u w:val="none"/>
    </w:rPr>
  </w:style>
  <w:style w:type="character" w:customStyle="1" w:styleId="81">
    <w:name w:val="font91"/>
    <w:basedOn w:val="35"/>
    <w:qFormat/>
    <w:uiPriority w:val="0"/>
    <w:rPr>
      <w:rFonts w:hint="eastAsia" w:ascii="宋体" w:hAnsi="宋体" w:eastAsia="宋体" w:cs="宋体"/>
      <w:color w:val="000000"/>
      <w:sz w:val="18"/>
      <w:szCs w:val="18"/>
      <w:u w:val="none"/>
    </w:rPr>
  </w:style>
  <w:style w:type="character" w:customStyle="1" w:styleId="82">
    <w:name w:val="未处理的提及1"/>
    <w:basedOn w:val="35"/>
    <w:semiHidden/>
    <w:unhideWhenUsed/>
    <w:qFormat/>
    <w:uiPriority w:val="99"/>
    <w:rPr>
      <w:color w:val="605E5C"/>
      <w:shd w:val="clear" w:color="auto" w:fill="E1DFDD"/>
    </w:rPr>
  </w:style>
  <w:style w:type="paragraph" w:customStyle="1" w:styleId="83">
    <w:name w:val="列出段落3"/>
    <w:basedOn w:val="1"/>
    <w:unhideWhenUsed/>
    <w:qFormat/>
    <w:uiPriority w:val="99"/>
    <w:pPr>
      <w:ind w:firstLine="420" w:firstLineChars="200"/>
    </w:pPr>
    <w:rPr>
      <w:rFonts w:ascii="Calibri" w:hAnsi="Calibri"/>
    </w:rPr>
  </w:style>
  <w:style w:type="paragraph" w:customStyle="1" w:styleId="84">
    <w:name w:val="p0"/>
    <w:basedOn w:val="1"/>
    <w:qFormat/>
    <w:uiPriority w:val="0"/>
    <w:pPr>
      <w:widowControl/>
    </w:pPr>
    <w:rPr>
      <w:kern w:val="0"/>
      <w:szCs w:val="21"/>
    </w:rPr>
  </w:style>
  <w:style w:type="paragraph" w:customStyle="1" w:styleId="85">
    <w:name w:val="Table Text"/>
    <w:basedOn w:val="1"/>
    <w:semiHidden/>
    <w:qFormat/>
    <w:uiPriority w:val="0"/>
    <w:rPr>
      <w:rFonts w:ascii="宋体" w:hAnsi="宋体" w:cs="宋体"/>
      <w:szCs w:val="21"/>
      <w:lang w:eastAsia="en-US"/>
    </w:rPr>
  </w:style>
  <w:style w:type="table" w:customStyle="1" w:styleId="86">
    <w:name w:val="Table Normal"/>
    <w:semiHidden/>
    <w:unhideWhenUsed/>
    <w:qFormat/>
    <w:uiPriority w:val="0"/>
    <w:tblPr>
      <w:tblCellMar>
        <w:top w:w="0" w:type="dxa"/>
        <w:left w:w="0" w:type="dxa"/>
        <w:bottom w:w="0" w:type="dxa"/>
        <w:right w:w="0" w:type="dxa"/>
      </w:tblCellMar>
    </w:tblPr>
  </w:style>
  <w:style w:type="paragraph" w:customStyle="1" w:styleId="87">
    <w:name w:val="标题 11"/>
    <w:basedOn w:val="1"/>
    <w:qFormat/>
    <w:uiPriority w:val="1"/>
    <w:pPr>
      <w:ind w:left="3"/>
      <w:outlineLvl w:val="1"/>
    </w:pPr>
    <w:rPr>
      <w:rFonts w:ascii="Microsoft JhengHei" w:hAnsi="Microsoft JhengHei" w:eastAsia="Microsoft JhengHei"/>
      <w:b/>
      <w:bCs/>
      <w:sz w:val="44"/>
      <w:szCs w:val="44"/>
    </w:rPr>
  </w:style>
  <w:style w:type="paragraph" w:customStyle="1" w:styleId="88">
    <w:name w:val="样式 标题 3 + (中文) 黑体 小四 非加粗 段前: 7.8 磅 段后: 0 磅 行距: 固定值 20 磅"/>
    <w:basedOn w:val="4"/>
    <w:qFormat/>
    <w:uiPriority w:val="0"/>
    <w:pPr>
      <w:spacing w:line="400" w:lineRule="exact"/>
      <w:ind w:firstLine="0"/>
    </w:pPr>
    <w:rPr>
      <w:rFonts w:eastAsia="黑体" w:cs="宋体"/>
    </w:rPr>
  </w:style>
  <w:style w:type="character" w:customStyle="1" w:styleId="89">
    <w:name w:val="NormalCharacter"/>
    <w:qFormat/>
    <w:uiPriority w:val="0"/>
  </w:style>
  <w:style w:type="paragraph" w:customStyle="1" w:styleId="90">
    <w:name w:val="Body Text 21"/>
    <w:basedOn w:val="1"/>
    <w:qFormat/>
    <w:uiPriority w:val="0"/>
    <w:pPr>
      <w:spacing w:after="120" w:line="480" w:lineRule="auto"/>
    </w:pPr>
  </w:style>
  <w:style w:type="paragraph" w:customStyle="1" w:styleId="91">
    <w:name w:val="修订1"/>
    <w:hidden/>
    <w:unhideWhenUsed/>
    <w:qFormat/>
    <w:uiPriority w:val="99"/>
    <w:rPr>
      <w:rFonts w:ascii="Times New Roman" w:hAnsi="Times New Roman" w:eastAsia="宋体" w:cs="Times New Roman"/>
      <w:kern w:val="2"/>
      <w:sz w:val="21"/>
      <w:lang w:val="en-US" w:eastAsia="zh-CN" w:bidi="ar-SA"/>
    </w:rPr>
  </w:style>
  <w:style w:type="paragraph" w:customStyle="1" w:styleId="92">
    <w:name w:val="_Style 7"/>
    <w:basedOn w:val="1"/>
    <w:next w:val="66"/>
    <w:qFormat/>
    <w:uiPriority w:val="0"/>
    <w:pPr>
      <w:ind w:firstLine="420" w:firstLineChars="200"/>
    </w:pPr>
    <w:rPr>
      <w:rFonts w:ascii="Calibri" w:hAnsi="Calibri" w:eastAsia="宋体" w:cs="Times New Roman"/>
      <w:szCs w:val="22"/>
    </w:rPr>
  </w:style>
  <w:style w:type="paragraph" w:customStyle="1" w:styleId="93">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65</Pages>
  <Words>27265</Words>
  <Characters>28852</Characters>
  <Lines>982</Lines>
  <Paragraphs>860</Paragraphs>
  <TotalTime>24</TotalTime>
  <ScaleCrop>false</ScaleCrop>
  <LinksUpToDate>false</LinksUpToDate>
  <CharactersWithSpaces>31269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2025-09-28T12:04:00Z</dcterms:created>
  <dc:creator>DELL</dc:creator>
  <cp:lastModifiedBy>刘倩</cp:lastModifiedBy>
  <cp:lastPrinted>2023-02-27T02:05:00Z</cp:lastPrinted>
  <dcterms:modified xsi:type="dcterms:W3CDTF">2026-07-30T07:51:26Z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D91B7259E8E24F5EA5FB73B7B1C60FBD_13</vt:lpwstr>
  </property>
  <property fmtid="{D5CDD505-2E9C-101B-9397-08002B2CF9AE}" pid="4" name="KSOTemplateDocerSaveRecord">
    <vt:lpwstr>eyJoZGlkIjoiZDcyNDFhYzdhNTg1MTlkODU5MzFiZTU0ZmY2YWQ5NWMiLCJ1c2VySWQiOiI0Nzk1MjAwMzcifQ==</vt:lpwstr>
  </property>
</Properties>
</file>